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10CE5E0" w:rsidR="0042064E" w:rsidRDefault="008D7D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12C">
        <w:rPr>
          <w:rFonts w:ascii="Times New Roman" w:hAnsi="Times New Roman" w:cs="Times New Roman"/>
          <w:b/>
          <w:sz w:val="28"/>
          <w:szCs w:val="20"/>
        </w:rPr>
        <w:t>Traitement de l’ellipse et des ambiguïtés catégorielles par deux programmes de TA neuronale en ligne de l’anglais vers le français, l’espagnol et l’italien</w:t>
      </w:r>
    </w:p>
    <w:p w14:paraId="00000003" w14:textId="77777777" w:rsidR="0042064E" w:rsidRDefault="0042064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6CF5E3AD" w:rsidR="0042064E" w:rsidRDefault="008D7D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François MANIEZ</w:t>
      </w:r>
      <w:r w:rsidR="006226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(Centre de Recherche en Linguistique Appliquée) </w:t>
      </w:r>
      <w:r w:rsidR="006226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Université Lumière Lyon 2</w:t>
      </w:r>
      <w:r w:rsidR="006226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FRANCE</w:t>
      </w:r>
    </w:p>
    <w:p w14:paraId="39A93234" w14:textId="702E16E8" w:rsidR="008D7D64" w:rsidRDefault="008D7D64" w:rsidP="008D7D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D64">
        <w:rPr>
          <w:rFonts w:ascii="Times New Roman" w:hAnsi="Times New Roman" w:cs="Times New Roman"/>
          <w:sz w:val="24"/>
          <w:szCs w:val="20"/>
          <w:lang w:val="es-ES_tradnl"/>
        </w:rPr>
        <w:t xml:space="preserve">María Belén </w:t>
      </w:r>
      <w:r w:rsidRPr="008D7D64">
        <w:rPr>
          <w:rFonts w:ascii="Times New Roman" w:hAnsi="Times New Roman" w:cs="Times New Roman"/>
          <w:sz w:val="24"/>
          <w:szCs w:val="20"/>
          <w:lang w:val="es-ES_tradnl"/>
        </w:rPr>
        <w:t>VILLAR DÍAZ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(Centre de Recherche en Linguistique Appliquée) - Université Lumière Lyon 2, FRANCE</w:t>
      </w:r>
    </w:p>
    <w:p w14:paraId="7E4CFE6A" w14:textId="61FD2A23" w:rsidR="008D7D64" w:rsidRDefault="008D7D64" w:rsidP="008D7D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Sandra GARBARINO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(Centre de Recherche en Linguistique Appliquée) - Université Lumière Lyon 2, FRANCE</w:t>
      </w:r>
    </w:p>
    <w:p w14:paraId="00000007" w14:textId="77777777" w:rsidR="0042064E" w:rsidRDefault="0042064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37EAB2C6" w:rsidR="0042064E" w:rsidRDefault="006226C4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Mots-clés — </w:t>
      </w:r>
      <w:r w:rsidR="00FA1E39" w:rsidRPr="00FA1E39">
        <w:rPr>
          <w:rFonts w:ascii="Times New Roman" w:hAnsi="Times New Roman" w:cs="Times New Roman"/>
          <w:i/>
          <w:sz w:val="20"/>
          <w:szCs w:val="20"/>
        </w:rPr>
        <w:t>anaphore ; ambiguïté ; ellipse ; post-édition ; traduction automatique</w:t>
      </w:r>
    </w:p>
    <w:p w14:paraId="00000009" w14:textId="77777777" w:rsidR="0042064E" w:rsidRDefault="0042064E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2EB1F89" w14:textId="77777777" w:rsidR="00FA1E39" w:rsidRPr="00FA1E39" w:rsidRDefault="00FA1E39" w:rsidP="00FA1E39">
      <w:pPr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Les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modèles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de la TA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traitent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généralement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les phrases de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manière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isolée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et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rejettent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toute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information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contextuelle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qui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dépasserait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les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limites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de la phrase (</w:t>
      </w:r>
      <w:proofErr w:type="spellStart"/>
      <w:r w:rsidRPr="00FA1E39">
        <w:rPr>
          <w:rFonts w:ascii="Times New Roman" w:hAnsi="Times New Roman" w:cs="Times New Roman"/>
        </w:rPr>
        <w:t>Tiedemann</w:t>
      </w:r>
      <w:proofErr w:type="spellEnd"/>
      <w:r w:rsidRPr="00FA1E39">
        <w:rPr>
          <w:rFonts w:ascii="Times New Roman" w:hAnsi="Times New Roman" w:cs="Times New Roman"/>
        </w:rPr>
        <w:t xml:space="preserve"> et Scherrer</w:t>
      </w:r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2017),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même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si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la TAN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prend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désormais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en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compte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le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contexte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interphrastique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(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Voita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Pr="00FA1E39">
        <w:rPr>
          <w:rFonts w:ascii="Times New Roman" w:eastAsia="Times New Roman" w:hAnsi="Times New Roman" w:cs="Times New Roman"/>
          <w:i/>
          <w:lang w:val="en-GB" w:eastAsia="it-IT"/>
        </w:rPr>
        <w:t>et al</w:t>
      </w:r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2019).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Malgré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les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récents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progrès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de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l'intelligence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artificielle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les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traducteurs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humains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continuent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de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surpasser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la TA pour les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tâches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proofErr w:type="gramStart"/>
      <w:r w:rsidRPr="00FA1E39">
        <w:rPr>
          <w:rFonts w:ascii="Times New Roman" w:eastAsia="Times New Roman" w:hAnsi="Times New Roman" w:cs="Times New Roman"/>
          <w:lang w:val="en-GB" w:eastAsia="it-IT"/>
        </w:rPr>
        <w:t>suivantes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> :</w:t>
      </w:r>
      <w:proofErr w:type="gramEnd"/>
    </w:p>
    <w:p w14:paraId="5125B0D2" w14:textId="77777777" w:rsidR="00FA1E39" w:rsidRPr="00FA1E39" w:rsidRDefault="00FA1E39" w:rsidP="00FA1E39">
      <w:pPr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a) </w:t>
      </w:r>
      <w:proofErr w:type="spellStart"/>
      <w:proofErr w:type="gramStart"/>
      <w:r w:rsidRPr="00FA1E39">
        <w:rPr>
          <w:rFonts w:ascii="Times New Roman" w:eastAsia="Times New Roman" w:hAnsi="Times New Roman" w:cs="Times New Roman"/>
          <w:lang w:val="en-GB" w:eastAsia="it-IT"/>
        </w:rPr>
        <w:t>l'identification</w:t>
      </w:r>
      <w:proofErr w:type="spellEnd"/>
      <w:proofErr w:type="gram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des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référents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dans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l'anaphore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(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en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particulier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de type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interphrastique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>) ;</w:t>
      </w:r>
    </w:p>
    <w:p w14:paraId="2DFD5144" w14:textId="77777777" w:rsidR="00FA1E39" w:rsidRPr="00FA1E39" w:rsidRDefault="00FA1E39" w:rsidP="00FA1E39">
      <w:pPr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b) </w:t>
      </w:r>
      <w:proofErr w:type="gramStart"/>
      <w:r w:rsidRPr="00FA1E39">
        <w:rPr>
          <w:rFonts w:ascii="Times New Roman" w:eastAsia="Times New Roman" w:hAnsi="Times New Roman" w:cs="Times New Roman"/>
          <w:lang w:val="en-GB" w:eastAsia="it-IT"/>
        </w:rPr>
        <w:t>la</w:t>
      </w:r>
      <w:proofErr w:type="gram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résolution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de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l'ambiguïté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sémantique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générée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par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la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polysémie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ou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l'homonymie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> ;</w:t>
      </w:r>
    </w:p>
    <w:p w14:paraId="6A236389" w14:textId="77777777" w:rsidR="00FA1E39" w:rsidRPr="00FA1E39" w:rsidRDefault="00FA1E39" w:rsidP="00FA1E39">
      <w:pPr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c) </w:t>
      </w:r>
      <w:proofErr w:type="gramStart"/>
      <w:r w:rsidRPr="00FA1E39">
        <w:rPr>
          <w:rFonts w:ascii="Times New Roman" w:eastAsia="Times New Roman" w:hAnsi="Times New Roman" w:cs="Times New Roman"/>
          <w:lang w:val="en-GB" w:eastAsia="it-IT"/>
        </w:rPr>
        <w:t>la</w:t>
      </w:r>
      <w:proofErr w:type="gram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résolution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des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ambiguïtés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syntaxiques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qui ne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peuvent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être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résolues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par des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méthodes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statistiques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(Maniez 2020).</w:t>
      </w:r>
    </w:p>
    <w:p w14:paraId="6AAE63B2" w14:textId="77777777" w:rsidR="00FA1E39" w:rsidRPr="00FA1E39" w:rsidRDefault="00FA1E39" w:rsidP="00FA1E39">
      <w:pPr>
        <w:jc w:val="both"/>
        <w:rPr>
          <w:rFonts w:ascii="Times New Roman" w:eastAsia="Times New Roman" w:hAnsi="Times New Roman" w:cs="Times New Roman"/>
          <w:lang w:val="en-GB" w:eastAsia="it-IT"/>
        </w:rPr>
      </w:pPr>
      <w:proofErr w:type="spellStart"/>
      <w:proofErr w:type="gramStart"/>
      <w:r w:rsidRPr="00FA1E39">
        <w:rPr>
          <w:rFonts w:ascii="Times New Roman" w:eastAsia="Times New Roman" w:hAnsi="Times New Roman" w:cs="Times New Roman"/>
          <w:lang w:val="en-GB" w:eastAsia="it-IT"/>
        </w:rPr>
        <w:t>Dans</w:t>
      </w:r>
      <w:proofErr w:type="spellEnd"/>
      <w:proofErr w:type="gram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la prose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scientifique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, la première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tâche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pose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peu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de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problèmes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à la TA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en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raison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notamment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de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l’absence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de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contraintes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stylistiques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qui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empêcheraient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la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répétition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(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ce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qui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limite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les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cas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d'anaphore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). La prose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journalistique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proofErr w:type="gramStart"/>
      <w:r w:rsidRPr="00FA1E39">
        <w:rPr>
          <w:rFonts w:ascii="Times New Roman" w:eastAsia="Times New Roman" w:hAnsi="Times New Roman" w:cs="Times New Roman"/>
          <w:lang w:val="en-GB" w:eastAsia="it-IT"/>
        </w:rPr>
        <w:t>est</w:t>
      </w:r>
      <w:proofErr w:type="spellEnd"/>
      <w:proofErr w:type="gram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cependant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plus riche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en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anaphores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et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en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ellipses et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peut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donc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provoquer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davantage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d’erreurs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en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TA.</w:t>
      </w:r>
    </w:p>
    <w:p w14:paraId="3F339734" w14:textId="77777777" w:rsidR="00FA1E39" w:rsidRPr="00FA1E39" w:rsidRDefault="00FA1E39" w:rsidP="00FA1E39">
      <w:pPr>
        <w:jc w:val="both"/>
        <w:rPr>
          <w:rFonts w:ascii="Times New Roman" w:eastAsia="Times New Roman" w:hAnsi="Times New Roman" w:cs="Times New Roman"/>
          <w:lang w:val="en-GB" w:eastAsia="it-IT"/>
        </w:rPr>
      </w:pPr>
      <w:proofErr w:type="gramStart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A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partir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d’un corpus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constitué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de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textes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journalistiques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traduits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en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2016, 2019 et 2021 par les programmes de TA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en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ligne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des sites Google Translate et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DeepL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, nous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analysons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l’évolution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de la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qualité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des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traductions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proposées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par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ces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deux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programmes de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l’anglais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vers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l’espagnol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, le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français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et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l’italien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,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notamment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pour le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traitement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de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l’ellipse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intraphrastique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et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interphrastique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et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celui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des </w:t>
      </w:r>
      <w:r w:rsidRPr="00FA1E39">
        <w:rPr>
          <w:rFonts w:ascii="Times New Roman" w:hAnsi="Times New Roman" w:cs="Times New Roman"/>
        </w:rPr>
        <w:t>ambiguïtés catégorielles</w:t>
      </w:r>
      <w:r w:rsidRPr="00FA1E39">
        <w:rPr>
          <w:rFonts w:ascii="Times New Roman" w:eastAsia="Times New Roman" w:hAnsi="Times New Roman" w:cs="Times New Roman"/>
          <w:lang w:val="en-GB" w:eastAsia="it-IT"/>
        </w:rPr>
        <w:t>.</w:t>
      </w:r>
      <w:proofErr w:type="gram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Nous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examinons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entre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autres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les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cas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où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l’ellipse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interphrastique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implique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la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répétition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partielle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d’un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terme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complexe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(</w:t>
      </w:r>
      <w:r w:rsidRPr="00FA1E39">
        <w:rPr>
          <w:rFonts w:ascii="Times New Roman" w:eastAsia="Times New Roman" w:hAnsi="Times New Roman" w:cs="Times New Roman"/>
          <w:i/>
          <w:lang w:val="en-GB" w:eastAsia="it-IT"/>
        </w:rPr>
        <w:t xml:space="preserve">legal </w:t>
      </w:r>
      <w:proofErr w:type="gramStart"/>
      <w:r w:rsidRPr="00FA1E39">
        <w:rPr>
          <w:rFonts w:ascii="Times New Roman" w:eastAsia="Times New Roman" w:hAnsi="Times New Roman" w:cs="Times New Roman"/>
          <w:i/>
          <w:lang w:val="en-GB" w:eastAsia="it-IT"/>
        </w:rPr>
        <w:t>challenge </w:t>
      </w:r>
      <w:r w:rsidRPr="00FA1E39">
        <w:rPr>
          <w:rFonts w:ascii="Times New Roman" w:eastAsia="Times New Roman" w:hAnsi="Times New Roman" w:cs="Times New Roman"/>
          <w:lang w:val="en-GB" w:eastAsia="it-IT"/>
        </w:rPr>
        <w:t>:</w:t>
      </w:r>
      <w:proofErr w:type="gram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recours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en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justice,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impugnación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legal), qui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entraîne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une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traduction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littérale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erronée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(</w:t>
      </w:r>
      <w:r w:rsidRPr="00FA1E39">
        <w:rPr>
          <w:rFonts w:ascii="Times New Roman" w:eastAsia="Times New Roman" w:hAnsi="Times New Roman" w:cs="Times New Roman"/>
          <w:i/>
          <w:lang w:val="en-GB" w:eastAsia="it-IT"/>
        </w:rPr>
        <w:t>challenge </w:t>
      </w:r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: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défi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,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desafio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)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comme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dans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l’exemple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FA1E39">
        <w:rPr>
          <w:rFonts w:ascii="Times New Roman" w:eastAsia="Times New Roman" w:hAnsi="Times New Roman" w:cs="Times New Roman"/>
          <w:lang w:val="en-GB" w:eastAsia="it-IT"/>
        </w:rPr>
        <w:t>suivant</w:t>
      </w:r>
      <w:proofErr w:type="spellEnd"/>
      <w:r w:rsidRPr="00FA1E39">
        <w:rPr>
          <w:rFonts w:ascii="Times New Roman" w:eastAsia="Times New Roman" w:hAnsi="Times New Roman" w:cs="Times New Roman"/>
          <w:lang w:val="en-GB" w:eastAsia="it-IT"/>
        </w:rPr>
        <w:t> :</w:t>
      </w:r>
    </w:p>
    <w:p w14:paraId="393C832D" w14:textId="77777777" w:rsidR="00FA1E39" w:rsidRPr="00FA1E39" w:rsidRDefault="00FA1E39" w:rsidP="00FA1E39">
      <w:pPr>
        <w:pStyle w:val="NormalWeb"/>
        <w:spacing w:before="0" w:beforeAutospacing="0" w:after="0" w:afterAutospacing="0"/>
        <w:ind w:left="709"/>
        <w:jc w:val="both"/>
        <w:rPr>
          <w:i/>
          <w:sz w:val="22"/>
          <w:szCs w:val="22"/>
        </w:rPr>
      </w:pPr>
      <w:r w:rsidRPr="00FA1E39">
        <w:rPr>
          <w:i/>
          <w:sz w:val="22"/>
          <w:szCs w:val="22"/>
        </w:rPr>
        <w:t xml:space="preserve">A High Court </w:t>
      </w:r>
      <w:proofErr w:type="spellStart"/>
      <w:r w:rsidRPr="00FA1E39">
        <w:rPr>
          <w:b/>
          <w:i/>
          <w:sz w:val="22"/>
          <w:szCs w:val="22"/>
        </w:rPr>
        <w:t>legal</w:t>
      </w:r>
      <w:proofErr w:type="spellEnd"/>
      <w:r w:rsidRPr="00FA1E39">
        <w:rPr>
          <w:b/>
          <w:i/>
          <w:sz w:val="22"/>
          <w:szCs w:val="22"/>
        </w:rPr>
        <w:t xml:space="preserve"> challenge</w:t>
      </w:r>
      <w:r w:rsidRPr="00FA1E39">
        <w:rPr>
          <w:i/>
          <w:sz w:val="22"/>
          <w:szCs w:val="22"/>
        </w:rPr>
        <w:t xml:space="preserve"> </w:t>
      </w:r>
      <w:proofErr w:type="spellStart"/>
      <w:r w:rsidRPr="00FA1E39">
        <w:rPr>
          <w:i/>
          <w:sz w:val="22"/>
          <w:szCs w:val="22"/>
        </w:rPr>
        <w:t>against</w:t>
      </w:r>
      <w:proofErr w:type="spellEnd"/>
      <w:r w:rsidRPr="00FA1E39">
        <w:rPr>
          <w:i/>
          <w:sz w:val="22"/>
          <w:szCs w:val="22"/>
        </w:rPr>
        <w:t xml:space="preserve"> </w:t>
      </w:r>
      <w:proofErr w:type="spellStart"/>
      <w:r w:rsidRPr="00FA1E39">
        <w:rPr>
          <w:i/>
          <w:sz w:val="22"/>
          <w:szCs w:val="22"/>
        </w:rPr>
        <w:t>Brexit</w:t>
      </w:r>
      <w:proofErr w:type="spellEnd"/>
      <w:r w:rsidRPr="00FA1E39">
        <w:rPr>
          <w:i/>
          <w:sz w:val="22"/>
          <w:szCs w:val="22"/>
        </w:rPr>
        <w:t xml:space="preserve"> </w:t>
      </w:r>
      <w:proofErr w:type="spellStart"/>
      <w:r w:rsidRPr="00FA1E39">
        <w:rPr>
          <w:i/>
          <w:sz w:val="22"/>
          <w:szCs w:val="22"/>
        </w:rPr>
        <w:t>will</w:t>
      </w:r>
      <w:proofErr w:type="spellEnd"/>
      <w:r w:rsidRPr="00FA1E39">
        <w:rPr>
          <w:i/>
          <w:sz w:val="22"/>
          <w:szCs w:val="22"/>
        </w:rPr>
        <w:t xml:space="preserve"> enter </w:t>
      </w:r>
      <w:proofErr w:type="spellStart"/>
      <w:r w:rsidRPr="00FA1E39">
        <w:rPr>
          <w:i/>
          <w:sz w:val="22"/>
          <w:szCs w:val="22"/>
        </w:rPr>
        <w:t>its</w:t>
      </w:r>
      <w:proofErr w:type="spellEnd"/>
      <w:r w:rsidRPr="00FA1E39">
        <w:rPr>
          <w:i/>
          <w:sz w:val="22"/>
          <w:szCs w:val="22"/>
        </w:rPr>
        <w:t xml:space="preserve"> second </w:t>
      </w:r>
      <w:proofErr w:type="spellStart"/>
      <w:r w:rsidRPr="00FA1E39">
        <w:rPr>
          <w:i/>
          <w:sz w:val="22"/>
          <w:szCs w:val="22"/>
        </w:rPr>
        <w:t>day</w:t>
      </w:r>
      <w:proofErr w:type="spellEnd"/>
      <w:r w:rsidRPr="00FA1E39">
        <w:rPr>
          <w:i/>
          <w:sz w:val="22"/>
          <w:szCs w:val="22"/>
        </w:rPr>
        <w:t xml:space="preserve"> on </w:t>
      </w:r>
      <w:proofErr w:type="spellStart"/>
      <w:r w:rsidRPr="00FA1E39">
        <w:rPr>
          <w:i/>
          <w:sz w:val="22"/>
          <w:szCs w:val="22"/>
        </w:rPr>
        <w:t>Monday</w:t>
      </w:r>
      <w:proofErr w:type="spellEnd"/>
      <w:r w:rsidRPr="00FA1E39">
        <w:rPr>
          <w:i/>
          <w:sz w:val="22"/>
          <w:szCs w:val="22"/>
        </w:rPr>
        <w:t xml:space="preserve"> […]. The </w:t>
      </w:r>
      <w:r w:rsidRPr="00FA1E39">
        <w:rPr>
          <w:b/>
          <w:i/>
          <w:sz w:val="22"/>
          <w:szCs w:val="22"/>
        </w:rPr>
        <w:t>challenge</w:t>
      </w:r>
      <w:r w:rsidRPr="00FA1E39">
        <w:rPr>
          <w:i/>
          <w:sz w:val="22"/>
          <w:szCs w:val="22"/>
        </w:rPr>
        <w:t xml:space="preserve"> </w:t>
      </w:r>
      <w:proofErr w:type="spellStart"/>
      <w:r w:rsidRPr="00FA1E39">
        <w:rPr>
          <w:i/>
          <w:sz w:val="22"/>
          <w:szCs w:val="22"/>
        </w:rPr>
        <w:t>will</w:t>
      </w:r>
      <w:proofErr w:type="spellEnd"/>
      <w:r w:rsidRPr="00FA1E39">
        <w:rPr>
          <w:i/>
          <w:sz w:val="22"/>
          <w:szCs w:val="22"/>
        </w:rPr>
        <w:t xml:space="preserve"> </w:t>
      </w:r>
      <w:proofErr w:type="spellStart"/>
      <w:r w:rsidRPr="00FA1E39">
        <w:rPr>
          <w:i/>
          <w:sz w:val="22"/>
          <w:szCs w:val="22"/>
        </w:rPr>
        <w:t>hear</w:t>
      </w:r>
      <w:proofErr w:type="spellEnd"/>
      <w:r w:rsidRPr="00FA1E39">
        <w:rPr>
          <w:i/>
          <w:sz w:val="22"/>
          <w:szCs w:val="22"/>
        </w:rPr>
        <w:t xml:space="preserve"> </w:t>
      </w:r>
      <w:proofErr w:type="spellStart"/>
      <w:r w:rsidRPr="00FA1E39">
        <w:rPr>
          <w:i/>
          <w:sz w:val="22"/>
          <w:szCs w:val="22"/>
        </w:rPr>
        <w:t>whether</w:t>
      </w:r>
      <w:proofErr w:type="spellEnd"/>
      <w:r w:rsidRPr="00FA1E39">
        <w:rPr>
          <w:i/>
          <w:sz w:val="22"/>
          <w:szCs w:val="22"/>
        </w:rPr>
        <w:t xml:space="preserve"> Theresa May has the power to </w:t>
      </w:r>
      <w:proofErr w:type="spellStart"/>
      <w:r w:rsidRPr="00FA1E39">
        <w:rPr>
          <w:i/>
          <w:sz w:val="22"/>
          <w:szCs w:val="22"/>
        </w:rPr>
        <w:t>take</w:t>
      </w:r>
      <w:proofErr w:type="spellEnd"/>
      <w:r w:rsidRPr="00FA1E39">
        <w:rPr>
          <w:i/>
          <w:sz w:val="22"/>
          <w:szCs w:val="22"/>
        </w:rPr>
        <w:t xml:space="preserve"> the UK out of the EU </w:t>
      </w:r>
      <w:proofErr w:type="spellStart"/>
      <w:r w:rsidRPr="00FA1E39">
        <w:rPr>
          <w:i/>
          <w:sz w:val="22"/>
          <w:szCs w:val="22"/>
        </w:rPr>
        <w:t>without</w:t>
      </w:r>
      <w:proofErr w:type="spellEnd"/>
      <w:r w:rsidRPr="00FA1E39">
        <w:rPr>
          <w:i/>
          <w:sz w:val="22"/>
          <w:szCs w:val="22"/>
        </w:rPr>
        <w:t xml:space="preserve"> </w:t>
      </w:r>
      <w:proofErr w:type="spellStart"/>
      <w:r w:rsidRPr="00FA1E39">
        <w:rPr>
          <w:i/>
          <w:sz w:val="22"/>
          <w:szCs w:val="22"/>
        </w:rPr>
        <w:t>MPs</w:t>
      </w:r>
      <w:proofErr w:type="spellEnd"/>
      <w:r w:rsidRPr="00FA1E39">
        <w:rPr>
          <w:i/>
          <w:sz w:val="22"/>
          <w:szCs w:val="22"/>
        </w:rPr>
        <w:t xml:space="preserve"> </w:t>
      </w:r>
      <w:proofErr w:type="spellStart"/>
      <w:r w:rsidRPr="00FA1E39">
        <w:rPr>
          <w:i/>
          <w:sz w:val="22"/>
          <w:szCs w:val="22"/>
        </w:rPr>
        <w:t>voting</w:t>
      </w:r>
      <w:proofErr w:type="spellEnd"/>
      <w:r w:rsidRPr="00FA1E39">
        <w:rPr>
          <w:i/>
          <w:sz w:val="22"/>
          <w:szCs w:val="22"/>
        </w:rPr>
        <w:t xml:space="preserve"> on </w:t>
      </w:r>
      <w:proofErr w:type="spellStart"/>
      <w:r w:rsidRPr="00FA1E39">
        <w:rPr>
          <w:i/>
          <w:sz w:val="22"/>
          <w:szCs w:val="22"/>
        </w:rPr>
        <w:t>it</w:t>
      </w:r>
      <w:proofErr w:type="spellEnd"/>
      <w:r w:rsidRPr="00FA1E39">
        <w:rPr>
          <w:i/>
          <w:sz w:val="22"/>
          <w:szCs w:val="22"/>
        </w:rPr>
        <w:t>.</w:t>
      </w:r>
    </w:p>
    <w:p w14:paraId="618134A8" w14:textId="77777777" w:rsidR="00FA1E39" w:rsidRPr="00FA1E39" w:rsidRDefault="00FA1E39" w:rsidP="00FA1E3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A1E39">
        <w:rPr>
          <w:sz w:val="22"/>
          <w:szCs w:val="22"/>
        </w:rPr>
        <w:t>Nos résultats font apparaître un saut qualitatif entre la TA statistique et la TAN, ainsi qu’une sensible amélioration des résultats de la TAN au cours des deux dernières années.</w:t>
      </w:r>
    </w:p>
    <w:p w14:paraId="0000000B" w14:textId="77777777" w:rsidR="0042064E" w:rsidRDefault="0042064E">
      <w:pPr>
        <w:jc w:val="both"/>
        <w:rPr>
          <w:rFonts w:ascii="Times New Roman" w:eastAsia="Times New Roman" w:hAnsi="Times New Roman" w:cs="Times New Roman"/>
        </w:rPr>
      </w:pPr>
    </w:p>
    <w:p w14:paraId="7A743755" w14:textId="77777777" w:rsidR="006226C4" w:rsidRPr="00F43D39" w:rsidRDefault="006226C4" w:rsidP="006226C4">
      <w:pPr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43D39">
        <w:rPr>
          <w:rFonts w:ascii="Times New Roman" w:hAnsi="Times New Roman" w:cs="Times New Roman"/>
          <w:sz w:val="20"/>
          <w:szCs w:val="20"/>
          <w:lang w:val="en-US"/>
        </w:rPr>
        <w:t xml:space="preserve">Maniez, F. (2020). </w:t>
      </w:r>
      <w:r w:rsidRPr="00F43D39">
        <w:rPr>
          <w:rStyle w:val="lev"/>
          <w:rFonts w:ascii="Times New Roman" w:hAnsi="Times New Roman" w:cs="Times New Roman"/>
          <w:sz w:val="20"/>
          <w:szCs w:val="20"/>
          <w:lang w:val="en-US"/>
        </w:rPr>
        <w:t>“</w:t>
      </w:r>
      <w:r w:rsidRPr="00F43D39">
        <w:rPr>
          <w:rFonts w:ascii="Times New Roman" w:hAnsi="Times New Roman" w:cs="Times New Roman"/>
          <w:sz w:val="20"/>
          <w:szCs w:val="20"/>
          <w:lang w:val="en-US"/>
        </w:rPr>
        <w:t>Identification of potentially ambiguous noun phrases in scientific English: a crucial aspect of translator and post-editor training</w:t>
      </w:r>
      <w:r w:rsidRPr="00F43D39">
        <w:rPr>
          <w:rStyle w:val="lev"/>
          <w:rFonts w:ascii="Times New Roman" w:hAnsi="Times New Roman" w:cs="Times New Roman"/>
          <w:sz w:val="20"/>
          <w:szCs w:val="20"/>
          <w:lang w:val="en-US"/>
        </w:rPr>
        <w:t xml:space="preserve">”, in </w:t>
      </w:r>
      <w:r w:rsidRPr="00F43D39">
        <w:rPr>
          <w:rFonts w:ascii="Times New Roman" w:hAnsi="Times New Roman" w:cs="Times New Roman"/>
          <w:sz w:val="20"/>
          <w:szCs w:val="20"/>
          <w:lang w:val="en-US"/>
        </w:rPr>
        <w:t xml:space="preserve">Levey Daniel (dir.) </w:t>
      </w:r>
      <w:r w:rsidRPr="00F43D39">
        <w:rPr>
          <w:rStyle w:val="Accentuation"/>
          <w:rFonts w:ascii="Times New Roman" w:hAnsi="Times New Roman" w:cs="Times New Roman"/>
          <w:sz w:val="20"/>
          <w:szCs w:val="20"/>
          <w:lang w:val="en-US"/>
        </w:rPr>
        <w:t xml:space="preserve">Strategies and Analyses of Language and Communication in Multilingual and International Contexts, </w:t>
      </w:r>
      <w:r w:rsidRPr="00F43D39">
        <w:rPr>
          <w:rFonts w:ascii="Times New Roman" w:hAnsi="Times New Roman" w:cs="Times New Roman"/>
          <w:sz w:val="20"/>
          <w:szCs w:val="20"/>
        </w:rPr>
        <w:t xml:space="preserve">p. 168-176, </w:t>
      </w:r>
      <w:r w:rsidRPr="00F43D39">
        <w:rPr>
          <w:rStyle w:val="Accentuation"/>
          <w:rFonts w:ascii="Times New Roman" w:hAnsi="Times New Roman" w:cs="Times New Roman"/>
          <w:sz w:val="20"/>
          <w:szCs w:val="20"/>
          <w:lang w:val="en-US"/>
        </w:rPr>
        <w:t>Cambridge Scholars Publishing, Cambridge</w:t>
      </w:r>
      <w:r w:rsidRPr="00F43D39">
        <w:rPr>
          <w:rStyle w:val="lev"/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14:paraId="577BA0B4" w14:textId="77777777" w:rsidR="006226C4" w:rsidRPr="00F43D39" w:rsidRDefault="006226C4" w:rsidP="006226C4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43D39">
        <w:rPr>
          <w:rFonts w:ascii="Times New Roman" w:hAnsi="Times New Roman" w:cs="Times New Roman"/>
          <w:sz w:val="20"/>
          <w:szCs w:val="20"/>
        </w:rPr>
        <w:t>Voita</w:t>
      </w:r>
      <w:proofErr w:type="spellEnd"/>
      <w:r w:rsidRPr="00F43D39">
        <w:rPr>
          <w:rFonts w:ascii="Times New Roman" w:hAnsi="Times New Roman" w:cs="Times New Roman"/>
          <w:sz w:val="20"/>
          <w:szCs w:val="20"/>
        </w:rPr>
        <w:t xml:space="preserve">, E., </w:t>
      </w:r>
      <w:proofErr w:type="spellStart"/>
      <w:r w:rsidRPr="00F43D39">
        <w:rPr>
          <w:rFonts w:ascii="Times New Roman" w:hAnsi="Times New Roman" w:cs="Times New Roman"/>
          <w:sz w:val="20"/>
          <w:szCs w:val="20"/>
        </w:rPr>
        <w:t>Sennrich</w:t>
      </w:r>
      <w:proofErr w:type="spellEnd"/>
      <w:r w:rsidRPr="00F43D39">
        <w:rPr>
          <w:rFonts w:ascii="Times New Roman" w:hAnsi="Times New Roman" w:cs="Times New Roman"/>
          <w:sz w:val="20"/>
          <w:szCs w:val="20"/>
        </w:rPr>
        <w:t xml:space="preserve">, R., &amp; </w:t>
      </w:r>
      <w:proofErr w:type="spellStart"/>
      <w:r w:rsidRPr="00F43D39">
        <w:rPr>
          <w:rFonts w:ascii="Times New Roman" w:hAnsi="Times New Roman" w:cs="Times New Roman"/>
          <w:sz w:val="20"/>
          <w:szCs w:val="20"/>
        </w:rPr>
        <w:t>Titov</w:t>
      </w:r>
      <w:proofErr w:type="spellEnd"/>
      <w:r w:rsidRPr="00F43D39">
        <w:rPr>
          <w:rFonts w:ascii="Times New Roman" w:hAnsi="Times New Roman" w:cs="Times New Roman"/>
          <w:sz w:val="20"/>
          <w:szCs w:val="20"/>
        </w:rPr>
        <w:t>, I. (2019). "</w:t>
      </w:r>
      <w:proofErr w:type="spellStart"/>
      <w:r w:rsidRPr="00F43D39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F43D39">
        <w:rPr>
          <w:rFonts w:ascii="Times New Roman" w:hAnsi="Times New Roman" w:cs="Times New Roman"/>
          <w:sz w:val="20"/>
          <w:szCs w:val="20"/>
        </w:rPr>
        <w:t xml:space="preserve"> a good translation </w:t>
      </w:r>
      <w:proofErr w:type="spellStart"/>
      <w:r w:rsidRPr="00F43D39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F43D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3D39">
        <w:rPr>
          <w:rFonts w:ascii="Times New Roman" w:hAnsi="Times New Roman" w:cs="Times New Roman"/>
          <w:sz w:val="20"/>
          <w:szCs w:val="20"/>
        </w:rPr>
        <w:t>wrong</w:t>
      </w:r>
      <w:proofErr w:type="spellEnd"/>
      <w:r w:rsidRPr="00F43D3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F43D39">
        <w:rPr>
          <w:rFonts w:ascii="Times New Roman" w:hAnsi="Times New Roman" w:cs="Times New Roman"/>
          <w:sz w:val="20"/>
          <w:szCs w:val="20"/>
        </w:rPr>
        <w:t>context</w:t>
      </w:r>
      <w:proofErr w:type="spellEnd"/>
      <w:r w:rsidRPr="00F43D3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F43D39">
        <w:rPr>
          <w:rFonts w:ascii="Times New Roman" w:hAnsi="Times New Roman" w:cs="Times New Roman"/>
          <w:sz w:val="20"/>
          <w:szCs w:val="20"/>
        </w:rPr>
        <w:t>Context-aware</w:t>
      </w:r>
      <w:proofErr w:type="spellEnd"/>
      <w:r w:rsidRPr="00F43D39">
        <w:rPr>
          <w:rFonts w:ascii="Times New Roman" w:hAnsi="Times New Roman" w:cs="Times New Roman"/>
          <w:sz w:val="20"/>
          <w:szCs w:val="20"/>
        </w:rPr>
        <w:t xml:space="preserve"> machine translation </w:t>
      </w:r>
      <w:proofErr w:type="spellStart"/>
      <w:r w:rsidRPr="00F43D39">
        <w:rPr>
          <w:rFonts w:ascii="Times New Roman" w:hAnsi="Times New Roman" w:cs="Times New Roman"/>
          <w:sz w:val="20"/>
          <w:szCs w:val="20"/>
        </w:rPr>
        <w:t>improves</w:t>
      </w:r>
      <w:proofErr w:type="spellEnd"/>
      <w:r w:rsidRPr="00F43D39">
        <w:rPr>
          <w:rFonts w:ascii="Times New Roman" w:hAnsi="Times New Roman" w:cs="Times New Roman"/>
          <w:sz w:val="20"/>
          <w:szCs w:val="20"/>
        </w:rPr>
        <w:t xml:space="preserve"> on deixis, </w:t>
      </w:r>
      <w:proofErr w:type="spellStart"/>
      <w:r w:rsidRPr="00F43D39">
        <w:rPr>
          <w:rFonts w:ascii="Times New Roman" w:hAnsi="Times New Roman" w:cs="Times New Roman"/>
          <w:sz w:val="20"/>
          <w:szCs w:val="20"/>
        </w:rPr>
        <w:t>ellipsis</w:t>
      </w:r>
      <w:proofErr w:type="spellEnd"/>
      <w:r w:rsidRPr="00F43D39">
        <w:rPr>
          <w:rFonts w:ascii="Times New Roman" w:hAnsi="Times New Roman" w:cs="Times New Roman"/>
          <w:sz w:val="20"/>
          <w:szCs w:val="20"/>
        </w:rPr>
        <w:t xml:space="preserve">, and lexical </w:t>
      </w:r>
      <w:proofErr w:type="spellStart"/>
      <w:r w:rsidRPr="00F43D39">
        <w:rPr>
          <w:rFonts w:ascii="Times New Roman" w:hAnsi="Times New Roman" w:cs="Times New Roman"/>
          <w:sz w:val="20"/>
          <w:szCs w:val="20"/>
        </w:rPr>
        <w:t>cohesion</w:t>
      </w:r>
      <w:proofErr w:type="spellEnd"/>
      <w:r w:rsidRPr="00F43D39">
        <w:rPr>
          <w:rFonts w:ascii="Times New Roman" w:hAnsi="Times New Roman" w:cs="Times New Roman"/>
          <w:sz w:val="20"/>
          <w:szCs w:val="20"/>
        </w:rPr>
        <w:t xml:space="preserve">". </w:t>
      </w:r>
      <w:proofErr w:type="spellStart"/>
      <w:proofErr w:type="gramStart"/>
      <w:r w:rsidRPr="00F43D39">
        <w:rPr>
          <w:rFonts w:ascii="Times New Roman" w:hAnsi="Times New Roman" w:cs="Times New Roman"/>
          <w:i/>
          <w:iCs/>
          <w:sz w:val="20"/>
          <w:szCs w:val="20"/>
        </w:rPr>
        <w:t>arXiv</w:t>
      </w:r>
      <w:proofErr w:type="spellEnd"/>
      <w:proofErr w:type="gramEnd"/>
      <w:r w:rsidRPr="00F43D3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43D39">
        <w:rPr>
          <w:rFonts w:ascii="Times New Roman" w:hAnsi="Times New Roman" w:cs="Times New Roman"/>
          <w:i/>
          <w:iCs/>
          <w:sz w:val="20"/>
          <w:szCs w:val="20"/>
        </w:rPr>
        <w:t>preprint</w:t>
      </w:r>
      <w:proofErr w:type="spellEnd"/>
      <w:r w:rsidRPr="00F43D39">
        <w:rPr>
          <w:rFonts w:ascii="Times New Roman" w:hAnsi="Times New Roman" w:cs="Times New Roman"/>
          <w:i/>
          <w:iCs/>
          <w:sz w:val="20"/>
          <w:szCs w:val="20"/>
        </w:rPr>
        <w:t xml:space="preserve"> arXiv:1905.05979</w:t>
      </w:r>
      <w:r w:rsidRPr="00F43D39">
        <w:rPr>
          <w:rFonts w:ascii="Times New Roman" w:hAnsi="Times New Roman" w:cs="Times New Roman"/>
          <w:sz w:val="20"/>
          <w:szCs w:val="20"/>
        </w:rPr>
        <w:t>.</w:t>
      </w:r>
    </w:p>
    <w:p w14:paraId="00000017" w14:textId="0578C68F" w:rsidR="0042064E" w:rsidRDefault="006226C4" w:rsidP="006226C4">
      <w:p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43D39">
        <w:rPr>
          <w:rFonts w:ascii="Times New Roman" w:hAnsi="Times New Roman" w:cs="Times New Roman"/>
          <w:sz w:val="20"/>
          <w:szCs w:val="20"/>
        </w:rPr>
        <w:t>Tiedemann</w:t>
      </w:r>
      <w:proofErr w:type="spellEnd"/>
      <w:r w:rsidRPr="00F43D39">
        <w:rPr>
          <w:rFonts w:ascii="Times New Roman" w:hAnsi="Times New Roman" w:cs="Times New Roman"/>
          <w:sz w:val="20"/>
          <w:szCs w:val="20"/>
        </w:rPr>
        <w:t xml:space="preserve">, J. and Scherrer, Y. (2017). "Neural Machine Translation </w:t>
      </w:r>
      <w:proofErr w:type="spellStart"/>
      <w:r w:rsidRPr="00F43D3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F43D39">
        <w:rPr>
          <w:rFonts w:ascii="Times New Roman" w:hAnsi="Times New Roman" w:cs="Times New Roman"/>
          <w:sz w:val="20"/>
          <w:szCs w:val="20"/>
        </w:rPr>
        <w:t xml:space="preserve"> Extended </w:t>
      </w:r>
      <w:proofErr w:type="spellStart"/>
      <w:r w:rsidRPr="00F43D39">
        <w:rPr>
          <w:rFonts w:ascii="Times New Roman" w:hAnsi="Times New Roman" w:cs="Times New Roman"/>
          <w:sz w:val="20"/>
          <w:szCs w:val="20"/>
        </w:rPr>
        <w:t>Context</w:t>
      </w:r>
      <w:proofErr w:type="spellEnd"/>
      <w:r w:rsidRPr="00F43D39">
        <w:rPr>
          <w:rFonts w:ascii="Times New Roman" w:hAnsi="Times New Roman" w:cs="Times New Roman"/>
          <w:sz w:val="20"/>
          <w:szCs w:val="20"/>
        </w:rPr>
        <w:t xml:space="preserve">". In </w:t>
      </w:r>
      <w:proofErr w:type="spellStart"/>
      <w:r w:rsidRPr="00F43D39">
        <w:rPr>
          <w:rFonts w:ascii="Times New Roman" w:hAnsi="Times New Roman" w:cs="Times New Roman"/>
          <w:i/>
          <w:sz w:val="20"/>
          <w:szCs w:val="20"/>
        </w:rPr>
        <w:t>Proceedings</w:t>
      </w:r>
      <w:proofErr w:type="spellEnd"/>
      <w:r w:rsidRPr="00F43D39">
        <w:rPr>
          <w:rFonts w:ascii="Times New Roman" w:hAnsi="Times New Roman" w:cs="Times New Roman"/>
          <w:i/>
          <w:sz w:val="20"/>
          <w:szCs w:val="20"/>
        </w:rPr>
        <w:t xml:space="preserve"> of the </w:t>
      </w:r>
      <w:proofErr w:type="spellStart"/>
      <w:r w:rsidRPr="00F43D39">
        <w:rPr>
          <w:rFonts w:ascii="Times New Roman" w:hAnsi="Times New Roman" w:cs="Times New Roman"/>
          <w:i/>
          <w:sz w:val="20"/>
          <w:szCs w:val="20"/>
        </w:rPr>
        <w:t>Third</w:t>
      </w:r>
      <w:proofErr w:type="spellEnd"/>
      <w:r w:rsidRPr="00F43D39">
        <w:rPr>
          <w:rFonts w:ascii="Times New Roman" w:hAnsi="Times New Roman" w:cs="Times New Roman"/>
          <w:i/>
          <w:sz w:val="20"/>
          <w:szCs w:val="20"/>
        </w:rPr>
        <w:t xml:space="preserve"> Workshop on </w:t>
      </w:r>
      <w:proofErr w:type="spellStart"/>
      <w:r w:rsidRPr="00F43D39">
        <w:rPr>
          <w:rFonts w:ascii="Times New Roman" w:hAnsi="Times New Roman" w:cs="Times New Roman"/>
          <w:i/>
          <w:sz w:val="20"/>
          <w:szCs w:val="20"/>
        </w:rPr>
        <w:t>Discourse</w:t>
      </w:r>
      <w:proofErr w:type="spellEnd"/>
      <w:r w:rsidRPr="00F43D39">
        <w:rPr>
          <w:rFonts w:ascii="Times New Roman" w:hAnsi="Times New Roman" w:cs="Times New Roman"/>
          <w:i/>
          <w:sz w:val="20"/>
          <w:szCs w:val="20"/>
        </w:rPr>
        <w:t xml:space="preserve"> in Machine Translation, DISCOMT’17</w:t>
      </w:r>
      <w:r w:rsidRPr="00F43D39">
        <w:rPr>
          <w:rFonts w:ascii="Times New Roman" w:hAnsi="Times New Roman" w:cs="Times New Roman"/>
          <w:sz w:val="20"/>
          <w:szCs w:val="20"/>
        </w:rPr>
        <w:t xml:space="preserve">, pages 82–92, </w:t>
      </w:r>
      <w:proofErr w:type="spellStart"/>
      <w:r w:rsidRPr="00F43D39">
        <w:rPr>
          <w:rFonts w:ascii="Times New Roman" w:hAnsi="Times New Roman" w:cs="Times New Roman"/>
          <w:sz w:val="20"/>
          <w:szCs w:val="20"/>
        </w:rPr>
        <w:t>Copenhagen</w:t>
      </w:r>
      <w:proofErr w:type="spellEnd"/>
      <w:r w:rsidRPr="00F43D3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43D39">
        <w:rPr>
          <w:rFonts w:ascii="Times New Roman" w:hAnsi="Times New Roman" w:cs="Times New Roman"/>
          <w:sz w:val="20"/>
          <w:szCs w:val="20"/>
        </w:rPr>
        <w:t>Denmark</w:t>
      </w:r>
      <w:proofErr w:type="spellEnd"/>
      <w:r w:rsidRPr="00F43D39">
        <w:rPr>
          <w:rFonts w:ascii="Times New Roman" w:hAnsi="Times New Roman" w:cs="Times New Roman"/>
          <w:sz w:val="20"/>
          <w:szCs w:val="20"/>
        </w:rPr>
        <w:t xml:space="preserve">. Association for </w:t>
      </w:r>
      <w:proofErr w:type="spellStart"/>
      <w:r w:rsidRPr="00F43D39">
        <w:rPr>
          <w:rFonts w:ascii="Times New Roman" w:hAnsi="Times New Roman" w:cs="Times New Roman"/>
          <w:sz w:val="20"/>
          <w:szCs w:val="20"/>
        </w:rPr>
        <w:t>Computational</w:t>
      </w:r>
      <w:proofErr w:type="spellEnd"/>
      <w:r w:rsidRPr="00F43D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3D39">
        <w:rPr>
          <w:rFonts w:ascii="Times New Roman" w:hAnsi="Times New Roman" w:cs="Times New Roman"/>
          <w:sz w:val="20"/>
          <w:szCs w:val="20"/>
        </w:rPr>
        <w:t>Linguistics</w:t>
      </w:r>
      <w:proofErr w:type="spellEnd"/>
      <w:r w:rsidRPr="00F43D39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42064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4E"/>
    <w:rsid w:val="0042064E"/>
    <w:rsid w:val="006226C4"/>
    <w:rsid w:val="008D7D64"/>
    <w:rsid w:val="00FA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95D8"/>
  <w15:docId w15:val="{1EB8A63C-6DF9-4A4B-85D2-1ABC3CFC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FA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6226C4"/>
    <w:rPr>
      <w:b/>
      <w:bCs/>
    </w:rPr>
  </w:style>
  <w:style w:type="character" w:styleId="Accentuation">
    <w:name w:val="Emphasis"/>
    <w:basedOn w:val="Policepardfaut"/>
    <w:uiPriority w:val="20"/>
    <w:qFormat/>
    <w:rsid w:val="00622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Lyon 2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Maniez ADM</dc:creator>
  <cp:lastModifiedBy>XY</cp:lastModifiedBy>
  <cp:revision>3</cp:revision>
  <dcterms:created xsi:type="dcterms:W3CDTF">2021-05-16T16:23:00Z</dcterms:created>
  <dcterms:modified xsi:type="dcterms:W3CDTF">2021-05-16T16:27:00Z</dcterms:modified>
</cp:coreProperties>
</file>