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F2A3B79" w:rsidR="00D535A3" w:rsidRDefault="006D2B89">
      <w:pPr>
        <w:jc w:val="center"/>
        <w:rPr>
          <w:rFonts w:ascii="Times New Roman" w:eastAsia="Times New Roman" w:hAnsi="Times New Roman" w:cs="Times New Roman"/>
          <w:b/>
          <w:sz w:val="28"/>
          <w:szCs w:val="28"/>
        </w:rPr>
      </w:pPr>
      <w:r w:rsidRPr="006D2B89">
        <w:rPr>
          <w:rFonts w:ascii="Times New Roman" w:eastAsia="Times New Roman" w:hAnsi="Times New Roman" w:cs="Times New Roman"/>
          <w:b/>
          <w:sz w:val="28"/>
          <w:szCs w:val="28"/>
        </w:rPr>
        <w:t xml:space="preserve">La consigne </w:t>
      </w:r>
      <w:proofErr w:type="spellStart"/>
      <w:r w:rsidRPr="006D2B89">
        <w:rPr>
          <w:rFonts w:ascii="Times New Roman" w:eastAsia="Times New Roman" w:hAnsi="Times New Roman" w:cs="Times New Roman"/>
          <w:b/>
          <w:sz w:val="28"/>
          <w:szCs w:val="28"/>
        </w:rPr>
        <w:t>technopédagogique</w:t>
      </w:r>
      <w:proofErr w:type="spellEnd"/>
      <w:r w:rsidRPr="006D2B89">
        <w:rPr>
          <w:rFonts w:ascii="Times New Roman" w:eastAsia="Times New Roman" w:hAnsi="Times New Roman" w:cs="Times New Roman"/>
          <w:b/>
          <w:sz w:val="28"/>
          <w:szCs w:val="28"/>
        </w:rPr>
        <w:t xml:space="preserve"> : analyse d'un type discursif dans une perspective d'enseignement/apprentissage des langues</w:t>
      </w:r>
    </w:p>
    <w:p w14:paraId="00000003" w14:textId="77777777" w:rsidR="00D535A3" w:rsidRDefault="00D535A3">
      <w:pPr>
        <w:jc w:val="both"/>
        <w:rPr>
          <w:rFonts w:ascii="Times New Roman" w:eastAsia="Times New Roman" w:hAnsi="Times New Roman" w:cs="Times New Roman"/>
          <w:b/>
          <w:sz w:val="28"/>
          <w:szCs w:val="28"/>
        </w:rPr>
      </w:pPr>
    </w:p>
    <w:p w14:paraId="00000006" w14:textId="565544C1" w:rsidR="00D535A3" w:rsidRPr="006D2B89" w:rsidRDefault="006D2B8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Jovan</w:t>
      </w:r>
      <w:r w:rsidR="00A848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KOSTOV, UR 739 DIPRALANG – Université Paul-Valéry Montpellier 3, FRANCE</w:t>
      </w:r>
    </w:p>
    <w:p w14:paraId="00000007" w14:textId="77777777" w:rsidR="00D535A3" w:rsidRPr="0040643C" w:rsidRDefault="00D535A3">
      <w:pPr>
        <w:jc w:val="both"/>
        <w:rPr>
          <w:rFonts w:ascii="Times New Roman" w:eastAsia="Times New Roman" w:hAnsi="Times New Roman" w:cs="Times New Roman"/>
          <w:b/>
          <w:sz w:val="24"/>
          <w:szCs w:val="24"/>
          <w:lang w:val="fr-FR"/>
        </w:rPr>
      </w:pPr>
    </w:p>
    <w:p w14:paraId="00000008" w14:textId="6921C455" w:rsidR="00D535A3" w:rsidRPr="005C62D3" w:rsidRDefault="00A848BE">
      <w:pPr>
        <w:jc w:val="both"/>
        <w:rPr>
          <w:rFonts w:ascii="Times New Roman" w:eastAsia="Times New Roman" w:hAnsi="Times New Roman" w:cs="Times New Roman"/>
          <w:i/>
          <w:sz w:val="20"/>
          <w:szCs w:val="20"/>
          <w:lang w:val="fr-FR"/>
        </w:rPr>
      </w:pPr>
      <w:r w:rsidRPr="005C62D3">
        <w:rPr>
          <w:rFonts w:ascii="Times New Roman" w:eastAsia="Times New Roman" w:hAnsi="Times New Roman" w:cs="Times New Roman"/>
          <w:i/>
          <w:sz w:val="20"/>
          <w:szCs w:val="20"/>
          <w:lang w:val="fr-FR"/>
        </w:rPr>
        <w:t xml:space="preserve">Mots-clés — </w:t>
      </w:r>
      <w:r w:rsidR="005C62D3" w:rsidRPr="005C62D3">
        <w:rPr>
          <w:rFonts w:ascii="Times New Roman" w:eastAsia="Times New Roman" w:hAnsi="Times New Roman" w:cs="Times New Roman"/>
          <w:i/>
          <w:sz w:val="20"/>
          <w:szCs w:val="20"/>
          <w:lang w:val="fr-FR"/>
        </w:rPr>
        <w:t xml:space="preserve">discours numérique, consigne, </w:t>
      </w:r>
      <w:proofErr w:type="spellStart"/>
      <w:r w:rsidR="005C62D3" w:rsidRPr="005C62D3">
        <w:rPr>
          <w:rFonts w:ascii="Times New Roman" w:eastAsia="Times New Roman" w:hAnsi="Times New Roman" w:cs="Times New Roman"/>
          <w:i/>
          <w:sz w:val="20"/>
          <w:szCs w:val="20"/>
          <w:lang w:val="fr-FR"/>
        </w:rPr>
        <w:t>technopédagogie</w:t>
      </w:r>
      <w:proofErr w:type="spellEnd"/>
      <w:r w:rsidR="005C62D3" w:rsidRPr="005C62D3">
        <w:rPr>
          <w:rFonts w:ascii="Times New Roman" w:eastAsia="Times New Roman" w:hAnsi="Times New Roman" w:cs="Times New Roman"/>
          <w:i/>
          <w:sz w:val="20"/>
          <w:szCs w:val="20"/>
          <w:lang w:val="fr-FR"/>
        </w:rPr>
        <w:t>, didactique, langues</w:t>
      </w:r>
    </w:p>
    <w:p w14:paraId="0000000B" w14:textId="77777777" w:rsidR="00D535A3" w:rsidRDefault="00D535A3">
      <w:pPr>
        <w:jc w:val="both"/>
        <w:rPr>
          <w:rFonts w:ascii="Times New Roman" w:eastAsia="Times New Roman" w:hAnsi="Times New Roman" w:cs="Times New Roman"/>
        </w:rPr>
      </w:pPr>
    </w:p>
    <w:p w14:paraId="2105AB02" w14:textId="7C9D3CF3" w:rsidR="003B0609" w:rsidRPr="003B0609" w:rsidRDefault="003B0609" w:rsidP="003B0609">
      <w:pPr>
        <w:jc w:val="both"/>
        <w:rPr>
          <w:rFonts w:ascii="Times New Roman" w:eastAsia="Times New Roman" w:hAnsi="Times New Roman" w:cs="Times New Roman"/>
        </w:rPr>
      </w:pPr>
      <w:bookmarkStart w:id="0" w:name="_GoBack"/>
      <w:r w:rsidRPr="003B0609">
        <w:rPr>
          <w:rFonts w:ascii="Times New Roman" w:eastAsia="Times New Roman" w:hAnsi="Times New Roman" w:cs="Times New Roman"/>
        </w:rPr>
        <w:t>Le discours « numérique » ne cesse d'alimenter différentes recherches en analyse du discours (</w:t>
      </w:r>
      <w:proofErr w:type="spellStart"/>
      <w:r w:rsidRPr="003B0609">
        <w:rPr>
          <w:rFonts w:ascii="Times New Roman" w:eastAsia="Times New Roman" w:hAnsi="Times New Roman" w:cs="Times New Roman"/>
        </w:rPr>
        <w:t>Maingueneau</w:t>
      </w:r>
      <w:proofErr w:type="spellEnd"/>
      <w:r w:rsidRPr="003B0609">
        <w:rPr>
          <w:rFonts w:ascii="Times New Roman" w:eastAsia="Times New Roman" w:hAnsi="Times New Roman" w:cs="Times New Roman"/>
        </w:rPr>
        <w:t xml:space="preserve">, 2013, </w:t>
      </w:r>
      <w:proofErr w:type="spellStart"/>
      <w:r w:rsidRPr="003B0609">
        <w:rPr>
          <w:rFonts w:ascii="Times New Roman" w:eastAsia="Times New Roman" w:hAnsi="Times New Roman" w:cs="Times New Roman"/>
        </w:rPr>
        <w:t>Paveau</w:t>
      </w:r>
      <w:proofErr w:type="spellEnd"/>
      <w:r w:rsidRPr="003B0609">
        <w:rPr>
          <w:rFonts w:ascii="Times New Roman" w:eastAsia="Times New Roman" w:hAnsi="Times New Roman" w:cs="Times New Roman"/>
        </w:rPr>
        <w:t xml:space="preserve">, 2017, Combe 2019, </w:t>
      </w:r>
      <w:proofErr w:type="spellStart"/>
      <w:r w:rsidRPr="003B0609">
        <w:rPr>
          <w:rFonts w:ascii="Times New Roman" w:eastAsia="Times New Roman" w:hAnsi="Times New Roman" w:cs="Times New Roman"/>
        </w:rPr>
        <w:t>Charnet</w:t>
      </w:r>
      <w:proofErr w:type="spellEnd"/>
      <w:r w:rsidRPr="003B0609">
        <w:rPr>
          <w:rFonts w:ascii="Times New Roman" w:eastAsia="Times New Roman" w:hAnsi="Times New Roman" w:cs="Times New Roman"/>
        </w:rPr>
        <w:t>, 20</w:t>
      </w:r>
      <w:r w:rsidR="00603EFB">
        <w:rPr>
          <w:rFonts w:ascii="Times New Roman" w:eastAsia="Times New Roman" w:hAnsi="Times New Roman" w:cs="Times New Roman"/>
        </w:rPr>
        <w:t>19</w:t>
      </w:r>
      <w:r w:rsidRPr="003B0609">
        <w:rPr>
          <w:rFonts w:ascii="Times New Roman" w:eastAsia="Times New Roman" w:hAnsi="Times New Roman" w:cs="Times New Roman"/>
        </w:rPr>
        <w:t xml:space="preserve">). Force est de constater que les chercheurs s'emploient à effectuer une ou des typologies du discours numérique, tentant de délimiter les contours et d'en étudier les éléments constitutifs. D'un point de vue pédagogique, un type en particulier attire notre attention : la consigne. </w:t>
      </w:r>
      <w:proofErr w:type="spellStart"/>
      <w:r w:rsidRPr="003B0609">
        <w:rPr>
          <w:rFonts w:ascii="Times New Roman" w:eastAsia="Times New Roman" w:hAnsi="Times New Roman" w:cs="Times New Roman"/>
        </w:rPr>
        <w:t>Zakhartchouk</w:t>
      </w:r>
      <w:proofErr w:type="spellEnd"/>
      <w:r w:rsidRPr="003B0609">
        <w:rPr>
          <w:rFonts w:ascii="Times New Roman" w:eastAsia="Times New Roman" w:hAnsi="Times New Roman" w:cs="Times New Roman"/>
        </w:rPr>
        <w:t xml:space="preserve"> définit la consigne comme une « injonction donnée pour effectuer une tâche » (</w:t>
      </w:r>
      <w:proofErr w:type="spellStart"/>
      <w:r w:rsidRPr="003B0609">
        <w:rPr>
          <w:rFonts w:ascii="Times New Roman" w:eastAsia="Times New Roman" w:hAnsi="Times New Roman" w:cs="Times New Roman"/>
        </w:rPr>
        <w:t>Zakhartchouk</w:t>
      </w:r>
      <w:proofErr w:type="spellEnd"/>
      <w:r w:rsidRPr="003B0609">
        <w:rPr>
          <w:rFonts w:ascii="Times New Roman" w:eastAsia="Times New Roman" w:hAnsi="Times New Roman" w:cs="Times New Roman"/>
        </w:rPr>
        <w:t>, 1999). Il propose également des « activités pour former de bons lecteurs de consigne » (</w:t>
      </w:r>
      <w:proofErr w:type="spellStart"/>
      <w:r w:rsidRPr="003B0609">
        <w:rPr>
          <w:rFonts w:ascii="Times New Roman" w:eastAsia="Times New Roman" w:hAnsi="Times New Roman" w:cs="Times New Roman"/>
        </w:rPr>
        <w:t>Zakhartchouk</w:t>
      </w:r>
      <w:proofErr w:type="spellEnd"/>
      <w:r w:rsidRPr="003B0609">
        <w:rPr>
          <w:rFonts w:ascii="Times New Roman" w:eastAsia="Times New Roman" w:hAnsi="Times New Roman" w:cs="Times New Roman"/>
        </w:rPr>
        <w:t xml:space="preserve"> in </w:t>
      </w:r>
      <w:proofErr w:type="spellStart"/>
      <w:r w:rsidRPr="003B0609">
        <w:rPr>
          <w:rFonts w:ascii="Times New Roman" w:eastAsia="Times New Roman" w:hAnsi="Times New Roman" w:cs="Times New Roman"/>
        </w:rPr>
        <w:t>Azzou-Caillemet</w:t>
      </w:r>
      <w:proofErr w:type="spellEnd"/>
      <w:r w:rsidRPr="003B0609">
        <w:rPr>
          <w:rFonts w:ascii="Times New Roman" w:eastAsia="Times New Roman" w:hAnsi="Times New Roman" w:cs="Times New Roman"/>
        </w:rPr>
        <w:t xml:space="preserve"> &amp; </w:t>
      </w:r>
      <w:proofErr w:type="spellStart"/>
      <w:r w:rsidRPr="003B0609">
        <w:rPr>
          <w:rFonts w:ascii="Times New Roman" w:eastAsia="Times New Roman" w:hAnsi="Times New Roman" w:cs="Times New Roman"/>
        </w:rPr>
        <w:t>Loret</w:t>
      </w:r>
      <w:proofErr w:type="spellEnd"/>
      <w:r w:rsidRPr="003B0609">
        <w:rPr>
          <w:rFonts w:ascii="Times New Roman" w:eastAsia="Times New Roman" w:hAnsi="Times New Roman" w:cs="Times New Roman"/>
        </w:rPr>
        <w:t xml:space="preserve"> </w:t>
      </w:r>
      <w:proofErr w:type="spellStart"/>
      <w:r w:rsidRPr="003B0609">
        <w:rPr>
          <w:rFonts w:ascii="Times New Roman" w:eastAsia="Times New Roman" w:hAnsi="Times New Roman" w:cs="Times New Roman"/>
        </w:rPr>
        <w:t>dir</w:t>
      </w:r>
      <w:proofErr w:type="spellEnd"/>
      <w:r w:rsidRPr="003B0609">
        <w:rPr>
          <w:rFonts w:ascii="Times New Roman" w:eastAsia="Times New Roman" w:hAnsi="Times New Roman" w:cs="Times New Roman"/>
        </w:rPr>
        <w:t xml:space="preserve">., 2018). L'usage du numérique rajoute une couche de complexité à ce genre discursif, notamment pour les apprenants. Il s'agit, ici, d'une une nouvelle « littératie » - concept décrit par </w:t>
      </w:r>
      <w:proofErr w:type="spellStart"/>
      <w:r w:rsidRPr="003B0609">
        <w:rPr>
          <w:rFonts w:ascii="Times New Roman" w:eastAsia="Times New Roman" w:hAnsi="Times New Roman" w:cs="Times New Roman"/>
        </w:rPr>
        <w:t>Fraenkel</w:t>
      </w:r>
      <w:proofErr w:type="spellEnd"/>
      <w:r w:rsidRPr="003B0609">
        <w:rPr>
          <w:rFonts w:ascii="Times New Roman" w:eastAsia="Times New Roman" w:hAnsi="Times New Roman" w:cs="Times New Roman"/>
        </w:rPr>
        <w:t xml:space="preserve"> et </w:t>
      </w:r>
      <w:proofErr w:type="spellStart"/>
      <w:r w:rsidRPr="003B0609">
        <w:rPr>
          <w:rFonts w:ascii="Times New Roman" w:eastAsia="Times New Roman" w:hAnsi="Times New Roman" w:cs="Times New Roman"/>
        </w:rPr>
        <w:t>Mbodj</w:t>
      </w:r>
      <w:proofErr w:type="spellEnd"/>
      <w:r w:rsidRPr="003B0609">
        <w:rPr>
          <w:rFonts w:ascii="Times New Roman" w:eastAsia="Times New Roman" w:hAnsi="Times New Roman" w:cs="Times New Roman"/>
        </w:rPr>
        <w:t xml:space="preserve"> à la fois « comme un ensemble de compétences en soi » et « comme un ensemble de pratiques replacées dans les contextes singuliers de ses usages sociaux » (</w:t>
      </w:r>
      <w:proofErr w:type="spellStart"/>
      <w:r w:rsidRPr="003B0609">
        <w:rPr>
          <w:rFonts w:ascii="Times New Roman" w:eastAsia="Times New Roman" w:hAnsi="Times New Roman" w:cs="Times New Roman"/>
        </w:rPr>
        <w:t>Fraenkel</w:t>
      </w:r>
      <w:proofErr w:type="spellEnd"/>
      <w:r w:rsidRPr="003B0609">
        <w:rPr>
          <w:rFonts w:ascii="Times New Roman" w:eastAsia="Times New Roman" w:hAnsi="Times New Roman" w:cs="Times New Roman"/>
        </w:rPr>
        <w:t xml:space="preserve"> &amp; </w:t>
      </w:r>
      <w:proofErr w:type="spellStart"/>
      <w:r w:rsidRPr="003B0609">
        <w:rPr>
          <w:rFonts w:ascii="Times New Roman" w:eastAsia="Times New Roman" w:hAnsi="Times New Roman" w:cs="Times New Roman"/>
        </w:rPr>
        <w:t>Mbodj</w:t>
      </w:r>
      <w:proofErr w:type="spellEnd"/>
      <w:r w:rsidRPr="003B0609">
        <w:rPr>
          <w:rFonts w:ascii="Times New Roman" w:eastAsia="Times New Roman" w:hAnsi="Times New Roman" w:cs="Times New Roman"/>
        </w:rPr>
        <w:t xml:space="preserve">, 2010). Dans cette communication, nous allons analyser la consigne dite « </w:t>
      </w:r>
      <w:proofErr w:type="spellStart"/>
      <w:r w:rsidRPr="003B0609">
        <w:rPr>
          <w:rFonts w:ascii="Times New Roman" w:eastAsia="Times New Roman" w:hAnsi="Times New Roman" w:cs="Times New Roman"/>
        </w:rPr>
        <w:t>technopédagogique</w:t>
      </w:r>
      <w:proofErr w:type="spellEnd"/>
      <w:r w:rsidRPr="003B0609">
        <w:rPr>
          <w:rFonts w:ascii="Times New Roman" w:eastAsia="Times New Roman" w:hAnsi="Times New Roman" w:cs="Times New Roman"/>
        </w:rPr>
        <w:t xml:space="preserve"> » afin de tenter d'en définir la structure d'un point de vue discursif, mais aussi les implications didactiques, à la suite de certains travaux qui la caractérisent comme un discours avec une dimension « techno-sémio-pédagogique » engendrant des actions en fonction de l'environnement numérique (</w:t>
      </w:r>
      <w:proofErr w:type="spellStart"/>
      <w:r w:rsidRPr="003B0609">
        <w:rPr>
          <w:rFonts w:ascii="Times New Roman" w:eastAsia="Times New Roman" w:hAnsi="Times New Roman" w:cs="Times New Roman"/>
        </w:rPr>
        <w:t>Capellini</w:t>
      </w:r>
      <w:proofErr w:type="spellEnd"/>
      <w:r w:rsidRPr="003B0609">
        <w:rPr>
          <w:rFonts w:ascii="Times New Roman" w:eastAsia="Times New Roman" w:hAnsi="Times New Roman" w:cs="Times New Roman"/>
        </w:rPr>
        <w:t xml:space="preserve"> &amp; Combe, 2017).</w:t>
      </w:r>
      <w:r w:rsidR="00EC23DA">
        <w:rPr>
          <w:rFonts w:ascii="Times New Roman" w:eastAsia="Times New Roman" w:hAnsi="Times New Roman" w:cs="Times New Roman"/>
        </w:rPr>
        <w:t xml:space="preserve"> </w:t>
      </w:r>
      <w:r w:rsidRPr="003B0609">
        <w:rPr>
          <w:rFonts w:ascii="Times New Roman" w:eastAsia="Times New Roman" w:hAnsi="Times New Roman" w:cs="Times New Roman"/>
        </w:rPr>
        <w:t>Cette analyse se déclinera en trois parties pour tenter de répondre aux interrogations suivantes :</w:t>
      </w:r>
    </w:p>
    <w:p w14:paraId="407223C6" w14:textId="3D10C44A" w:rsidR="003B0609" w:rsidRDefault="003B0609" w:rsidP="003B0609">
      <w:pPr>
        <w:jc w:val="both"/>
        <w:rPr>
          <w:rFonts w:ascii="Times New Roman" w:eastAsia="Times New Roman" w:hAnsi="Times New Roman" w:cs="Times New Roman"/>
        </w:rPr>
      </w:pPr>
      <w:r>
        <w:rPr>
          <w:rFonts w:ascii="Times New Roman" w:eastAsia="Times New Roman" w:hAnsi="Times New Roman" w:cs="Times New Roman"/>
        </w:rPr>
        <w:t xml:space="preserve">- </w:t>
      </w:r>
      <w:r w:rsidRPr="003B0609">
        <w:rPr>
          <w:rFonts w:ascii="Times New Roman" w:eastAsia="Times New Roman" w:hAnsi="Times New Roman" w:cs="Times New Roman"/>
        </w:rPr>
        <w:t xml:space="preserve">Qu'est-ce qui caractérise le discours dans la consigne </w:t>
      </w:r>
      <w:proofErr w:type="spellStart"/>
      <w:r w:rsidRPr="003B0609">
        <w:rPr>
          <w:rFonts w:ascii="Times New Roman" w:eastAsia="Times New Roman" w:hAnsi="Times New Roman" w:cs="Times New Roman"/>
        </w:rPr>
        <w:t>technopédagogique</w:t>
      </w:r>
      <w:proofErr w:type="spellEnd"/>
      <w:r w:rsidR="00760A77">
        <w:rPr>
          <w:rFonts w:ascii="Times New Roman" w:eastAsia="Times New Roman" w:hAnsi="Times New Roman" w:cs="Times New Roman"/>
        </w:rPr>
        <w:t xml:space="preserve"> </w:t>
      </w:r>
      <w:r w:rsidRPr="003B0609">
        <w:rPr>
          <w:rFonts w:ascii="Times New Roman" w:eastAsia="Times New Roman" w:hAnsi="Times New Roman" w:cs="Times New Roman"/>
        </w:rPr>
        <w:t>? Quels sont les éléments de nature technologique et pédagogique qui contribuent à l'émergence de ce concept en didactique</w:t>
      </w:r>
      <w:r w:rsidR="00760A77">
        <w:rPr>
          <w:rFonts w:ascii="Times New Roman" w:eastAsia="Times New Roman" w:hAnsi="Times New Roman" w:cs="Times New Roman"/>
        </w:rPr>
        <w:t xml:space="preserve"> </w:t>
      </w:r>
      <w:r w:rsidRPr="003B0609">
        <w:rPr>
          <w:rFonts w:ascii="Times New Roman" w:eastAsia="Times New Roman" w:hAnsi="Times New Roman" w:cs="Times New Roman"/>
        </w:rPr>
        <w:t>?</w:t>
      </w:r>
    </w:p>
    <w:p w14:paraId="127C51A8" w14:textId="4747277E" w:rsidR="003B0609" w:rsidRPr="003B0609" w:rsidRDefault="003B0609" w:rsidP="003B0609">
      <w:pPr>
        <w:jc w:val="both"/>
        <w:rPr>
          <w:rFonts w:ascii="Times New Roman" w:eastAsia="Times New Roman" w:hAnsi="Times New Roman" w:cs="Times New Roman"/>
        </w:rPr>
      </w:pPr>
      <w:r>
        <w:rPr>
          <w:rFonts w:ascii="Times New Roman" w:eastAsia="Times New Roman" w:hAnsi="Times New Roman" w:cs="Times New Roman"/>
        </w:rPr>
        <w:t xml:space="preserve">- </w:t>
      </w:r>
      <w:r w:rsidRPr="003B0609">
        <w:rPr>
          <w:rFonts w:ascii="Times New Roman" w:eastAsia="Times New Roman" w:hAnsi="Times New Roman" w:cs="Times New Roman"/>
        </w:rPr>
        <w:t>Quel est le rapport entre consignes et types d'activités pédagogiques dans une perspective d'enseignement/d'apprentissage via le numérique</w:t>
      </w:r>
      <w:r w:rsidR="00760A77">
        <w:rPr>
          <w:rFonts w:ascii="Times New Roman" w:eastAsia="Times New Roman" w:hAnsi="Times New Roman" w:cs="Times New Roman"/>
        </w:rPr>
        <w:t xml:space="preserve"> </w:t>
      </w:r>
      <w:r w:rsidRPr="003B0609">
        <w:rPr>
          <w:rFonts w:ascii="Times New Roman" w:eastAsia="Times New Roman" w:hAnsi="Times New Roman" w:cs="Times New Roman"/>
        </w:rPr>
        <w:t>?</w:t>
      </w:r>
    </w:p>
    <w:p w14:paraId="0000000D" w14:textId="42393367" w:rsidR="00D535A3" w:rsidRPr="00EC23DA" w:rsidRDefault="003B0609" w:rsidP="003B0609">
      <w:pPr>
        <w:jc w:val="both"/>
        <w:rPr>
          <w:rFonts w:ascii="Times New Roman" w:eastAsia="Times New Roman" w:hAnsi="Times New Roman" w:cs="Times New Roman"/>
        </w:rPr>
      </w:pPr>
      <w:r w:rsidRPr="003B0609">
        <w:rPr>
          <w:rFonts w:ascii="Times New Roman" w:eastAsia="Times New Roman" w:hAnsi="Times New Roman" w:cs="Times New Roman"/>
        </w:rPr>
        <w:t xml:space="preserve">- Enfin, nous nous interrogerons sur le niveau de langue d'un apprenant de FLE capable de comprendre une consigne </w:t>
      </w:r>
      <w:proofErr w:type="spellStart"/>
      <w:r w:rsidRPr="003B0609">
        <w:rPr>
          <w:rFonts w:ascii="Times New Roman" w:eastAsia="Times New Roman" w:hAnsi="Times New Roman" w:cs="Times New Roman"/>
        </w:rPr>
        <w:t>technopédagogique</w:t>
      </w:r>
      <w:proofErr w:type="spellEnd"/>
      <w:r w:rsidRPr="003B0609">
        <w:rPr>
          <w:rFonts w:ascii="Times New Roman" w:eastAsia="Times New Roman" w:hAnsi="Times New Roman" w:cs="Times New Roman"/>
        </w:rPr>
        <w:t xml:space="preserve"> et d'effectuer la procédure correspondante. En effet, la consigne en tant que type discursif est mentionnée dans plusieurs descripteurs du CECRL, allant du niveau A1 jusqu'au niveau C2 (CECRL, 2019). Certains descripteurs évoquent la nature multimodale de la consigne, notamment dans la communication en ligne, ce qui est intimement lié à la thématique traitée dans cette communication.</w:t>
      </w:r>
      <w:r w:rsidR="00EC23DA">
        <w:rPr>
          <w:rFonts w:ascii="Times New Roman" w:eastAsia="Times New Roman" w:hAnsi="Times New Roman" w:cs="Times New Roman"/>
        </w:rPr>
        <w:t xml:space="preserve"> </w:t>
      </w:r>
      <w:r w:rsidRPr="003B0609">
        <w:rPr>
          <w:rFonts w:ascii="Times New Roman" w:eastAsia="Times New Roman" w:hAnsi="Times New Roman" w:cs="Times New Roman"/>
        </w:rPr>
        <w:t xml:space="preserve">Le corpus sur lequel nous illustrerons nos propos est un ensemble d'activités pédagogiques mis en place par nos étudiants et grâce à </w:t>
      </w:r>
      <w:proofErr w:type="spellStart"/>
      <w:r w:rsidRPr="00A46D81">
        <w:rPr>
          <w:rFonts w:ascii="Times New Roman" w:eastAsia="Times New Roman" w:hAnsi="Times New Roman" w:cs="Times New Roman"/>
          <w:i/>
          <w:iCs/>
        </w:rPr>
        <w:t>LearningApps</w:t>
      </w:r>
      <w:proofErr w:type="spellEnd"/>
      <w:r w:rsidRPr="003B0609">
        <w:rPr>
          <w:rFonts w:ascii="Times New Roman" w:eastAsia="Times New Roman" w:hAnsi="Times New Roman" w:cs="Times New Roman"/>
        </w:rPr>
        <w:t xml:space="preserve">, </w:t>
      </w:r>
      <w:r w:rsidRPr="00A46D81">
        <w:rPr>
          <w:rFonts w:ascii="Times New Roman" w:eastAsia="Times New Roman" w:hAnsi="Times New Roman" w:cs="Times New Roman"/>
          <w:i/>
          <w:iCs/>
        </w:rPr>
        <w:t>H5P</w:t>
      </w:r>
      <w:r w:rsidRPr="003B0609">
        <w:rPr>
          <w:rFonts w:ascii="Times New Roman" w:eastAsia="Times New Roman" w:hAnsi="Times New Roman" w:cs="Times New Roman"/>
        </w:rPr>
        <w:t xml:space="preserve"> et </w:t>
      </w:r>
      <w:r w:rsidRPr="00A46D81">
        <w:rPr>
          <w:rFonts w:ascii="Times New Roman" w:eastAsia="Times New Roman" w:hAnsi="Times New Roman" w:cs="Times New Roman"/>
          <w:i/>
          <w:iCs/>
        </w:rPr>
        <w:t>Moodle</w:t>
      </w:r>
      <w:r w:rsidRPr="003B0609">
        <w:rPr>
          <w:rFonts w:ascii="Times New Roman" w:eastAsia="Times New Roman" w:hAnsi="Times New Roman" w:cs="Times New Roman"/>
        </w:rPr>
        <w:t>, notamment dans le cadre de nos cours sur le numérique pour l'enseignement/apprentissage des langues.</w:t>
      </w:r>
    </w:p>
    <w:p w14:paraId="00000012" w14:textId="373828FE" w:rsidR="00D535A3" w:rsidRPr="00EC23DA" w:rsidRDefault="00D535A3">
      <w:pPr>
        <w:jc w:val="both"/>
        <w:rPr>
          <w:rFonts w:ascii="Times New Roman" w:eastAsia="Times New Roman" w:hAnsi="Times New Roman" w:cs="Times New Roman"/>
          <w:sz w:val="20"/>
          <w:szCs w:val="20"/>
          <w:lang w:val="fr-FR"/>
        </w:rPr>
      </w:pPr>
    </w:p>
    <w:p w14:paraId="097ADDFB" w14:textId="3AB6FB30" w:rsidR="000D140B" w:rsidRDefault="00473075" w:rsidP="000E7EB5">
      <w:pPr>
        <w:ind w:left="283" w:hanging="283"/>
        <w:jc w:val="both"/>
        <w:rPr>
          <w:rFonts w:ascii="Times New Roman" w:eastAsia="Times New Roman" w:hAnsi="Times New Roman" w:cs="Times New Roman"/>
          <w:sz w:val="20"/>
          <w:szCs w:val="20"/>
        </w:rPr>
      </w:pPr>
      <w:proofErr w:type="spellStart"/>
      <w:r w:rsidRPr="00473075">
        <w:rPr>
          <w:rFonts w:ascii="Times New Roman" w:eastAsia="Times New Roman" w:hAnsi="Times New Roman" w:cs="Times New Roman"/>
          <w:sz w:val="20"/>
          <w:szCs w:val="20"/>
        </w:rPr>
        <w:t>Cappellini</w:t>
      </w:r>
      <w:proofErr w:type="spellEnd"/>
      <w:r>
        <w:rPr>
          <w:rFonts w:ascii="Times New Roman" w:eastAsia="Times New Roman" w:hAnsi="Times New Roman" w:cs="Times New Roman"/>
          <w:sz w:val="20"/>
          <w:szCs w:val="20"/>
        </w:rPr>
        <w:t>, M.</w:t>
      </w:r>
      <w:r w:rsidR="006709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473075">
        <w:rPr>
          <w:rFonts w:ascii="Times New Roman" w:eastAsia="Times New Roman" w:hAnsi="Times New Roman" w:cs="Times New Roman"/>
          <w:sz w:val="20"/>
          <w:szCs w:val="20"/>
        </w:rPr>
        <w:t>Combe</w:t>
      </w:r>
      <w:r>
        <w:rPr>
          <w:rFonts w:ascii="Times New Roman" w:eastAsia="Times New Roman" w:hAnsi="Times New Roman" w:cs="Times New Roman"/>
          <w:sz w:val="20"/>
          <w:szCs w:val="20"/>
        </w:rPr>
        <w:t xml:space="preserve"> C. (2017)</w:t>
      </w:r>
      <w:r w:rsidR="00670929">
        <w:rPr>
          <w:rFonts w:ascii="Times New Roman" w:eastAsia="Times New Roman" w:hAnsi="Times New Roman" w:cs="Times New Roman"/>
          <w:sz w:val="20"/>
          <w:szCs w:val="20"/>
        </w:rPr>
        <w:t xml:space="preserve">. </w:t>
      </w:r>
      <w:r w:rsidRPr="00473075">
        <w:rPr>
          <w:rFonts w:ascii="Times New Roman" w:eastAsia="Times New Roman" w:hAnsi="Times New Roman" w:cs="Times New Roman"/>
          <w:sz w:val="20"/>
          <w:szCs w:val="20"/>
        </w:rPr>
        <w:t xml:space="preserve">Analyser des compétences techno-sémio-pédagogiques d'apprentis tuteurs dans différents environnements numériques : résultats d'une étude exploratoire, </w:t>
      </w:r>
      <w:proofErr w:type="spellStart"/>
      <w:r w:rsidRPr="000D140B">
        <w:rPr>
          <w:rFonts w:ascii="Times New Roman" w:eastAsia="Times New Roman" w:hAnsi="Times New Roman" w:cs="Times New Roman"/>
          <w:i/>
          <w:iCs/>
          <w:sz w:val="20"/>
          <w:szCs w:val="20"/>
        </w:rPr>
        <w:t>Alsic</w:t>
      </w:r>
      <w:proofErr w:type="spellEnd"/>
      <w:r w:rsidRPr="000D140B">
        <w:rPr>
          <w:rFonts w:ascii="Times New Roman" w:eastAsia="Times New Roman" w:hAnsi="Times New Roman" w:cs="Times New Roman"/>
          <w:i/>
          <w:iCs/>
          <w:sz w:val="20"/>
          <w:szCs w:val="20"/>
        </w:rPr>
        <w:t xml:space="preserve"> [En ligne], Vol. 20, n° 3 | 2017</w:t>
      </w:r>
      <w:r w:rsidR="000D140B">
        <w:rPr>
          <w:rFonts w:ascii="Times New Roman" w:eastAsia="Times New Roman" w:hAnsi="Times New Roman" w:cs="Times New Roman"/>
          <w:sz w:val="20"/>
          <w:szCs w:val="20"/>
        </w:rPr>
        <w:t xml:space="preserve">. </w:t>
      </w:r>
      <w:r w:rsidRPr="00473075">
        <w:rPr>
          <w:rFonts w:ascii="Times New Roman" w:eastAsia="Times New Roman" w:hAnsi="Times New Roman" w:cs="Times New Roman"/>
          <w:sz w:val="20"/>
          <w:szCs w:val="20"/>
        </w:rPr>
        <w:t xml:space="preserve">DOI : </w:t>
      </w:r>
      <w:hyperlink r:id="rId4" w:history="1">
        <w:r w:rsidR="000D140B" w:rsidRPr="00D810A3">
          <w:rPr>
            <w:rStyle w:val="Lienhypertexte"/>
            <w:rFonts w:ascii="Times New Roman" w:eastAsia="Times New Roman" w:hAnsi="Times New Roman" w:cs="Times New Roman"/>
            <w:sz w:val="20"/>
            <w:szCs w:val="20"/>
          </w:rPr>
          <w:t>https://doi.org/10.4000/alsic.3186</w:t>
        </w:r>
      </w:hyperlink>
    </w:p>
    <w:p w14:paraId="4E1622EF" w14:textId="18CF21B4" w:rsidR="000E7EB5" w:rsidRPr="000E7EB5" w:rsidRDefault="000D140B" w:rsidP="000E7EB5">
      <w:pPr>
        <w:ind w:left="283" w:hanging="283"/>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w:t>
      </w:r>
      <w:r w:rsidR="000E7EB5">
        <w:rPr>
          <w:rFonts w:ascii="Times New Roman" w:eastAsia="Times New Roman" w:hAnsi="Times New Roman" w:cs="Times New Roman"/>
          <w:sz w:val="20"/>
          <w:szCs w:val="20"/>
        </w:rPr>
        <w:t>harnet</w:t>
      </w:r>
      <w:proofErr w:type="spellEnd"/>
      <w:r w:rsidR="000E7EB5">
        <w:rPr>
          <w:rFonts w:ascii="Times New Roman" w:eastAsia="Times New Roman" w:hAnsi="Times New Roman" w:cs="Times New Roman"/>
          <w:sz w:val="20"/>
          <w:szCs w:val="20"/>
        </w:rPr>
        <w:t>, C. (20</w:t>
      </w:r>
      <w:r w:rsidR="00603EFB">
        <w:rPr>
          <w:rFonts w:ascii="Times New Roman" w:eastAsia="Times New Roman" w:hAnsi="Times New Roman" w:cs="Times New Roman"/>
          <w:sz w:val="20"/>
          <w:szCs w:val="20"/>
        </w:rPr>
        <w:t>19</w:t>
      </w:r>
      <w:r w:rsidR="000E7EB5">
        <w:rPr>
          <w:rFonts w:ascii="Times New Roman" w:eastAsia="Times New Roman" w:hAnsi="Times New Roman" w:cs="Times New Roman"/>
          <w:sz w:val="20"/>
          <w:szCs w:val="20"/>
        </w:rPr>
        <w:t xml:space="preserve">), </w:t>
      </w:r>
      <w:r w:rsidR="000E7EB5">
        <w:rPr>
          <w:rFonts w:ascii="Times New Roman" w:eastAsia="Times New Roman" w:hAnsi="Times New Roman" w:cs="Times New Roman"/>
          <w:i/>
          <w:iCs/>
          <w:sz w:val="20"/>
          <w:szCs w:val="20"/>
        </w:rPr>
        <w:t>Comment réaliser une formation ou un enseignement numérique à distance ?</w:t>
      </w:r>
      <w:r w:rsidR="000E7EB5">
        <w:rPr>
          <w:rFonts w:ascii="Times New Roman" w:eastAsia="Times New Roman" w:hAnsi="Times New Roman" w:cs="Times New Roman"/>
          <w:sz w:val="20"/>
          <w:szCs w:val="20"/>
        </w:rPr>
        <w:t xml:space="preserve">, </w:t>
      </w:r>
      <w:r w:rsidR="00603EFB">
        <w:rPr>
          <w:rFonts w:ascii="Times New Roman" w:eastAsia="Times New Roman" w:hAnsi="Times New Roman" w:cs="Times New Roman"/>
          <w:sz w:val="20"/>
          <w:szCs w:val="20"/>
        </w:rPr>
        <w:t xml:space="preserve">Louvain-La-Neuve : De </w:t>
      </w:r>
      <w:proofErr w:type="spellStart"/>
      <w:r w:rsidR="00603EFB">
        <w:rPr>
          <w:rFonts w:ascii="Times New Roman" w:eastAsia="Times New Roman" w:hAnsi="Times New Roman" w:cs="Times New Roman"/>
          <w:sz w:val="20"/>
          <w:szCs w:val="20"/>
        </w:rPr>
        <w:t>Bœck</w:t>
      </w:r>
      <w:proofErr w:type="spellEnd"/>
      <w:r w:rsidR="00603EFB">
        <w:rPr>
          <w:rFonts w:ascii="Times New Roman" w:eastAsia="Times New Roman" w:hAnsi="Times New Roman" w:cs="Times New Roman"/>
          <w:sz w:val="20"/>
          <w:szCs w:val="20"/>
        </w:rPr>
        <w:t xml:space="preserve"> Supérieur. </w:t>
      </w:r>
    </w:p>
    <w:p w14:paraId="78C4491A" w14:textId="456CC851" w:rsidR="00AD77E5" w:rsidRDefault="00AD77E5">
      <w:pPr>
        <w:ind w:left="283" w:hanging="283"/>
        <w:jc w:val="both"/>
        <w:rPr>
          <w:rFonts w:ascii="Times New Roman" w:eastAsia="Times New Roman" w:hAnsi="Times New Roman" w:cs="Times New Roman"/>
          <w:sz w:val="20"/>
          <w:szCs w:val="20"/>
        </w:rPr>
      </w:pPr>
      <w:r w:rsidRPr="00AD77E5">
        <w:rPr>
          <w:rFonts w:ascii="Times New Roman" w:eastAsia="Times New Roman" w:hAnsi="Times New Roman" w:cs="Times New Roman"/>
          <w:sz w:val="20"/>
          <w:szCs w:val="20"/>
        </w:rPr>
        <w:t xml:space="preserve">Combe, C. (2019). Les genres numériques de la relation. </w:t>
      </w:r>
      <w:r w:rsidRPr="00760A77">
        <w:rPr>
          <w:rFonts w:ascii="Times New Roman" w:eastAsia="Times New Roman" w:hAnsi="Times New Roman" w:cs="Times New Roman"/>
          <w:i/>
          <w:iCs/>
          <w:sz w:val="20"/>
          <w:szCs w:val="20"/>
        </w:rPr>
        <w:t>Langage et société, 167</w:t>
      </w:r>
      <w:r w:rsidRPr="00AD77E5">
        <w:rPr>
          <w:rFonts w:ascii="Times New Roman" w:eastAsia="Times New Roman" w:hAnsi="Times New Roman" w:cs="Times New Roman"/>
          <w:sz w:val="20"/>
          <w:szCs w:val="20"/>
        </w:rPr>
        <w:t xml:space="preserve">, 51-80. </w:t>
      </w:r>
      <w:hyperlink r:id="rId5" w:history="1">
        <w:r w:rsidRPr="00D810A3">
          <w:rPr>
            <w:rStyle w:val="Lienhypertexte"/>
            <w:rFonts w:ascii="Times New Roman" w:eastAsia="Times New Roman" w:hAnsi="Times New Roman" w:cs="Times New Roman"/>
            <w:sz w:val="20"/>
            <w:szCs w:val="20"/>
          </w:rPr>
          <w:t>https://doi.org/10.3917/ls.167.0051</w:t>
        </w:r>
      </w:hyperlink>
    </w:p>
    <w:p w14:paraId="7BFFD57A" w14:textId="4E63C29F" w:rsidR="00AC65F1" w:rsidRDefault="00AC65F1">
      <w:pPr>
        <w:ind w:left="283" w:hanging="283"/>
        <w:jc w:val="both"/>
        <w:rPr>
          <w:rFonts w:ascii="Times New Roman" w:eastAsia="Times New Roman" w:hAnsi="Times New Roman" w:cs="Times New Roman"/>
          <w:sz w:val="20"/>
          <w:szCs w:val="20"/>
        </w:rPr>
      </w:pPr>
      <w:proofErr w:type="spellStart"/>
      <w:r w:rsidRPr="00EC23DA">
        <w:rPr>
          <w:rFonts w:ascii="Times New Roman" w:eastAsia="Times New Roman" w:hAnsi="Times New Roman" w:cs="Times New Roman"/>
          <w:sz w:val="20"/>
          <w:szCs w:val="20"/>
          <w:lang w:val="de-DE"/>
        </w:rPr>
        <w:t>Fraenkel</w:t>
      </w:r>
      <w:proofErr w:type="spellEnd"/>
      <w:r w:rsidRPr="00EC23DA">
        <w:rPr>
          <w:rFonts w:ascii="Times New Roman" w:eastAsia="Times New Roman" w:hAnsi="Times New Roman" w:cs="Times New Roman"/>
          <w:sz w:val="20"/>
          <w:szCs w:val="20"/>
          <w:lang w:val="de-DE"/>
        </w:rPr>
        <w:t xml:space="preserve">, B. &amp; </w:t>
      </w:r>
      <w:proofErr w:type="spellStart"/>
      <w:r w:rsidRPr="00EC23DA">
        <w:rPr>
          <w:rFonts w:ascii="Times New Roman" w:eastAsia="Times New Roman" w:hAnsi="Times New Roman" w:cs="Times New Roman"/>
          <w:sz w:val="20"/>
          <w:szCs w:val="20"/>
          <w:lang w:val="de-DE"/>
        </w:rPr>
        <w:t>Mbodj-Pouye</w:t>
      </w:r>
      <w:proofErr w:type="spellEnd"/>
      <w:r w:rsidRPr="00EC23DA">
        <w:rPr>
          <w:rFonts w:ascii="Times New Roman" w:eastAsia="Times New Roman" w:hAnsi="Times New Roman" w:cs="Times New Roman"/>
          <w:sz w:val="20"/>
          <w:szCs w:val="20"/>
          <w:lang w:val="de-DE"/>
        </w:rPr>
        <w:t xml:space="preserve">, A. (2010). </w:t>
      </w:r>
      <w:r w:rsidRPr="00AC65F1">
        <w:rPr>
          <w:rFonts w:ascii="Times New Roman" w:eastAsia="Times New Roman" w:hAnsi="Times New Roman" w:cs="Times New Roman"/>
          <w:sz w:val="20"/>
          <w:szCs w:val="20"/>
        </w:rPr>
        <w:t>Introduction</w:t>
      </w:r>
      <w:r>
        <w:rPr>
          <w:rFonts w:ascii="Times New Roman" w:eastAsia="Times New Roman" w:hAnsi="Times New Roman" w:cs="Times New Roman"/>
          <w:sz w:val="20"/>
          <w:szCs w:val="20"/>
        </w:rPr>
        <w:t xml:space="preserve"> </w:t>
      </w:r>
      <w:r w:rsidRPr="00AC65F1">
        <w:rPr>
          <w:rFonts w:ascii="Times New Roman" w:eastAsia="Times New Roman" w:hAnsi="Times New Roman" w:cs="Times New Roman"/>
          <w:sz w:val="20"/>
          <w:szCs w:val="20"/>
        </w:rPr>
        <w:t xml:space="preserve">: Les New </w:t>
      </w:r>
      <w:proofErr w:type="spellStart"/>
      <w:r w:rsidRPr="00AC65F1">
        <w:rPr>
          <w:rFonts w:ascii="Times New Roman" w:eastAsia="Times New Roman" w:hAnsi="Times New Roman" w:cs="Times New Roman"/>
          <w:sz w:val="20"/>
          <w:szCs w:val="20"/>
        </w:rPr>
        <w:t>Literacy</w:t>
      </w:r>
      <w:proofErr w:type="spellEnd"/>
      <w:r w:rsidRPr="00AC65F1">
        <w:rPr>
          <w:rFonts w:ascii="Times New Roman" w:eastAsia="Times New Roman" w:hAnsi="Times New Roman" w:cs="Times New Roman"/>
          <w:sz w:val="20"/>
          <w:szCs w:val="20"/>
        </w:rPr>
        <w:t xml:space="preserve"> </w:t>
      </w:r>
      <w:proofErr w:type="spellStart"/>
      <w:r w:rsidRPr="00AC65F1">
        <w:rPr>
          <w:rFonts w:ascii="Times New Roman" w:eastAsia="Times New Roman" w:hAnsi="Times New Roman" w:cs="Times New Roman"/>
          <w:sz w:val="20"/>
          <w:szCs w:val="20"/>
        </w:rPr>
        <w:t>studies</w:t>
      </w:r>
      <w:proofErr w:type="spellEnd"/>
      <w:r w:rsidRPr="00AC65F1">
        <w:rPr>
          <w:rFonts w:ascii="Times New Roman" w:eastAsia="Times New Roman" w:hAnsi="Times New Roman" w:cs="Times New Roman"/>
          <w:sz w:val="20"/>
          <w:szCs w:val="20"/>
        </w:rPr>
        <w:t xml:space="preserve">, jalons historiques et perspectives actuelles. </w:t>
      </w:r>
      <w:r w:rsidRPr="00AC65F1">
        <w:rPr>
          <w:rFonts w:ascii="Times New Roman" w:eastAsia="Times New Roman" w:hAnsi="Times New Roman" w:cs="Times New Roman"/>
          <w:i/>
          <w:iCs/>
          <w:sz w:val="20"/>
          <w:szCs w:val="20"/>
        </w:rPr>
        <w:t>Langage et société, 133</w:t>
      </w:r>
      <w:r>
        <w:rPr>
          <w:rFonts w:ascii="Times New Roman" w:eastAsia="Times New Roman" w:hAnsi="Times New Roman" w:cs="Times New Roman"/>
          <w:sz w:val="20"/>
          <w:szCs w:val="20"/>
        </w:rPr>
        <w:t xml:space="preserve"> (pp. </w:t>
      </w:r>
      <w:r w:rsidRPr="00AC65F1">
        <w:rPr>
          <w:rFonts w:ascii="Times New Roman" w:eastAsia="Times New Roman" w:hAnsi="Times New Roman" w:cs="Times New Roman"/>
          <w:sz w:val="20"/>
          <w:szCs w:val="20"/>
        </w:rPr>
        <w:t>7-24</w:t>
      </w:r>
      <w:r>
        <w:rPr>
          <w:rFonts w:ascii="Times New Roman" w:eastAsia="Times New Roman" w:hAnsi="Times New Roman" w:cs="Times New Roman"/>
          <w:sz w:val="20"/>
          <w:szCs w:val="20"/>
        </w:rPr>
        <w:t>)</w:t>
      </w:r>
      <w:r w:rsidRPr="00AC65F1">
        <w:rPr>
          <w:rFonts w:ascii="Times New Roman" w:eastAsia="Times New Roman" w:hAnsi="Times New Roman" w:cs="Times New Roman"/>
          <w:sz w:val="20"/>
          <w:szCs w:val="20"/>
        </w:rPr>
        <w:t xml:space="preserve">. </w:t>
      </w:r>
      <w:hyperlink r:id="rId6" w:history="1">
        <w:r w:rsidRPr="00D810A3">
          <w:rPr>
            <w:rStyle w:val="Lienhypertexte"/>
            <w:rFonts w:ascii="Times New Roman" w:eastAsia="Times New Roman" w:hAnsi="Times New Roman" w:cs="Times New Roman"/>
            <w:sz w:val="20"/>
            <w:szCs w:val="20"/>
          </w:rPr>
          <w:t>https://doi.org/10.3917/ls.133.0007</w:t>
        </w:r>
      </w:hyperlink>
    </w:p>
    <w:p w14:paraId="4A912BC4" w14:textId="0B98B260" w:rsidR="00AD77E5" w:rsidRDefault="00AD77E5">
      <w:pPr>
        <w:ind w:left="283" w:hanging="283"/>
        <w:jc w:val="both"/>
        <w:rPr>
          <w:rFonts w:ascii="Times New Roman" w:eastAsia="Times New Roman" w:hAnsi="Times New Roman" w:cs="Times New Roman"/>
          <w:sz w:val="20"/>
          <w:szCs w:val="20"/>
        </w:rPr>
      </w:pPr>
      <w:proofErr w:type="spellStart"/>
      <w:r w:rsidRPr="00AD77E5">
        <w:rPr>
          <w:rFonts w:ascii="Times New Roman" w:eastAsia="Times New Roman" w:hAnsi="Times New Roman" w:cs="Times New Roman"/>
          <w:sz w:val="20"/>
          <w:szCs w:val="20"/>
        </w:rPr>
        <w:t>Maingueneau</w:t>
      </w:r>
      <w:proofErr w:type="spellEnd"/>
      <w:r w:rsidRPr="00AD77E5">
        <w:rPr>
          <w:rFonts w:ascii="Times New Roman" w:eastAsia="Times New Roman" w:hAnsi="Times New Roman" w:cs="Times New Roman"/>
          <w:sz w:val="20"/>
          <w:szCs w:val="20"/>
        </w:rPr>
        <w:t xml:space="preserve">, D. (2013). Chapitre 4 - Genres de discours et web : existe-t-il des genres web ?. Dans : C. </w:t>
      </w:r>
      <w:proofErr w:type="spellStart"/>
      <w:r w:rsidRPr="00AD77E5">
        <w:rPr>
          <w:rFonts w:ascii="Times New Roman" w:eastAsia="Times New Roman" w:hAnsi="Times New Roman" w:cs="Times New Roman"/>
          <w:sz w:val="20"/>
          <w:szCs w:val="20"/>
        </w:rPr>
        <w:t>Barats</w:t>
      </w:r>
      <w:proofErr w:type="spellEnd"/>
      <w:r w:rsidRPr="00AD77E5">
        <w:rPr>
          <w:rFonts w:ascii="Times New Roman" w:eastAsia="Times New Roman" w:hAnsi="Times New Roman" w:cs="Times New Roman"/>
          <w:sz w:val="20"/>
          <w:szCs w:val="20"/>
        </w:rPr>
        <w:t xml:space="preserve">, </w:t>
      </w:r>
      <w:r w:rsidRPr="00760A77">
        <w:rPr>
          <w:rFonts w:ascii="Times New Roman" w:eastAsia="Times New Roman" w:hAnsi="Times New Roman" w:cs="Times New Roman"/>
          <w:i/>
          <w:iCs/>
          <w:sz w:val="20"/>
          <w:szCs w:val="20"/>
        </w:rPr>
        <w:t>Manuel d’analyse du web en Sciences Humaines et Sociales</w:t>
      </w:r>
      <w:r w:rsidRPr="00AD77E5">
        <w:rPr>
          <w:rFonts w:ascii="Times New Roman" w:eastAsia="Times New Roman" w:hAnsi="Times New Roman" w:cs="Times New Roman"/>
          <w:sz w:val="20"/>
          <w:szCs w:val="20"/>
        </w:rPr>
        <w:t xml:space="preserve"> (pp. 74-98). Paris: Armand Colin. </w:t>
      </w:r>
      <w:hyperlink r:id="rId7" w:history="1">
        <w:r w:rsidR="00760A77" w:rsidRPr="00D810A3">
          <w:rPr>
            <w:rStyle w:val="Lienhypertexte"/>
            <w:rFonts w:ascii="Times New Roman" w:eastAsia="Times New Roman" w:hAnsi="Times New Roman" w:cs="Times New Roman"/>
            <w:sz w:val="20"/>
            <w:szCs w:val="20"/>
          </w:rPr>
          <w:t>https://doi.org/10.3917/arco.barat.2013.01.0074</w:t>
        </w:r>
      </w:hyperlink>
      <w:r w:rsidRPr="00AD77E5">
        <w:rPr>
          <w:rFonts w:ascii="Times New Roman" w:eastAsia="Times New Roman" w:hAnsi="Times New Roman" w:cs="Times New Roman"/>
          <w:sz w:val="20"/>
          <w:szCs w:val="20"/>
        </w:rPr>
        <w:t>"</w:t>
      </w:r>
      <w:r w:rsidR="00760A77">
        <w:rPr>
          <w:rFonts w:ascii="Times New Roman" w:eastAsia="Times New Roman" w:hAnsi="Times New Roman" w:cs="Times New Roman"/>
          <w:sz w:val="20"/>
          <w:szCs w:val="20"/>
        </w:rPr>
        <w:t xml:space="preserve"> </w:t>
      </w:r>
    </w:p>
    <w:p w14:paraId="00000017" w14:textId="4284B762" w:rsidR="00D535A3" w:rsidRDefault="00AD77E5" w:rsidP="00760A77">
      <w:pPr>
        <w:ind w:left="283" w:hanging="283"/>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Paveau</w:t>
      </w:r>
      <w:proofErr w:type="spellEnd"/>
      <w:r w:rsidRPr="00AD77E5">
        <w:rPr>
          <w:rFonts w:ascii="Times New Roman" w:eastAsia="Times New Roman" w:hAnsi="Times New Roman" w:cs="Times New Roman"/>
          <w:sz w:val="20"/>
          <w:szCs w:val="20"/>
        </w:rPr>
        <w:t>, M-A. (2017). L'analyse du discours numérique</w:t>
      </w:r>
      <w:r w:rsidR="00760A77">
        <w:rPr>
          <w:rFonts w:ascii="Times New Roman" w:eastAsia="Times New Roman" w:hAnsi="Times New Roman" w:cs="Times New Roman"/>
          <w:sz w:val="20"/>
          <w:szCs w:val="20"/>
        </w:rPr>
        <w:t xml:space="preserve"> </w:t>
      </w:r>
      <w:r w:rsidRPr="00AD77E5">
        <w:rPr>
          <w:rFonts w:ascii="Times New Roman" w:eastAsia="Times New Roman" w:hAnsi="Times New Roman" w:cs="Times New Roman"/>
          <w:sz w:val="20"/>
          <w:szCs w:val="20"/>
        </w:rPr>
        <w:t>: dictionnaire des formes et des pratiques. Paris : Hermann.</w:t>
      </w:r>
    </w:p>
    <w:p w14:paraId="13964E57" w14:textId="4049EB8E" w:rsidR="00E572BA" w:rsidRPr="00E572BA" w:rsidRDefault="00326996" w:rsidP="00D1712D">
      <w:pPr>
        <w:ind w:left="283" w:hanging="283"/>
        <w:jc w:val="both"/>
        <w:rPr>
          <w:rFonts w:ascii="Times New Roman" w:eastAsia="Times New Roman" w:hAnsi="Times New Roman" w:cs="Times New Roman"/>
          <w:sz w:val="20"/>
          <w:szCs w:val="20"/>
          <w:lang w:val="fr-FR"/>
        </w:rPr>
      </w:pPr>
      <w:proofErr w:type="spellStart"/>
      <w:r w:rsidRPr="00EC23DA">
        <w:rPr>
          <w:rFonts w:ascii="Times New Roman" w:eastAsia="Times New Roman" w:hAnsi="Times New Roman" w:cs="Times New Roman"/>
          <w:sz w:val="20"/>
          <w:szCs w:val="20"/>
          <w:lang w:val="fr-FR"/>
        </w:rPr>
        <w:t>Zakhartchouk</w:t>
      </w:r>
      <w:proofErr w:type="spellEnd"/>
      <w:r w:rsidRPr="00EC23DA">
        <w:rPr>
          <w:rFonts w:ascii="Times New Roman" w:eastAsia="Times New Roman" w:hAnsi="Times New Roman" w:cs="Times New Roman"/>
          <w:sz w:val="20"/>
          <w:szCs w:val="20"/>
          <w:lang w:val="fr-FR"/>
        </w:rPr>
        <w:t xml:space="preserve">, J-M. </w:t>
      </w:r>
      <w:r w:rsidR="00E572BA" w:rsidRPr="00E572BA">
        <w:rPr>
          <w:rFonts w:ascii="Times New Roman" w:eastAsia="Times New Roman" w:hAnsi="Times New Roman" w:cs="Times New Roman"/>
          <w:sz w:val="20"/>
          <w:szCs w:val="20"/>
          <w:lang w:val="fr-FR"/>
        </w:rPr>
        <w:t xml:space="preserve">(2006), </w:t>
      </w:r>
      <w:r w:rsidR="00E572BA" w:rsidRPr="00E572BA">
        <w:rPr>
          <w:rFonts w:ascii="Times New Roman" w:eastAsia="Times New Roman" w:hAnsi="Times New Roman" w:cs="Times New Roman"/>
          <w:i/>
          <w:iCs/>
          <w:sz w:val="20"/>
          <w:szCs w:val="20"/>
          <w:lang w:val="fr-FR"/>
        </w:rPr>
        <w:t>Comprendre les énoncés et les consignes</w:t>
      </w:r>
      <w:r w:rsidR="00E572BA">
        <w:rPr>
          <w:rFonts w:ascii="Times New Roman" w:eastAsia="Times New Roman" w:hAnsi="Times New Roman" w:cs="Times New Roman"/>
          <w:sz w:val="20"/>
          <w:szCs w:val="20"/>
          <w:lang w:val="fr-FR"/>
        </w:rPr>
        <w:t>. Amiens</w:t>
      </w:r>
      <w:r w:rsidR="00AC65F1">
        <w:rPr>
          <w:rFonts w:ascii="Times New Roman" w:eastAsia="Times New Roman" w:hAnsi="Times New Roman" w:cs="Times New Roman"/>
          <w:sz w:val="20"/>
          <w:szCs w:val="20"/>
          <w:lang w:val="fr-FR"/>
        </w:rPr>
        <w:t xml:space="preserve"> : CRDP de l’Académie d’Amiens. </w:t>
      </w:r>
    </w:p>
    <w:p w14:paraId="6CE0A963" w14:textId="538076BA" w:rsidR="000E7EB5" w:rsidRPr="000E7EB5" w:rsidRDefault="00E572BA" w:rsidP="00D1712D">
      <w:pPr>
        <w:ind w:left="283" w:hanging="283"/>
        <w:jc w:val="both"/>
        <w:rPr>
          <w:rFonts w:ascii="Times New Roman" w:eastAsia="Times New Roman" w:hAnsi="Times New Roman" w:cs="Times New Roman"/>
          <w:sz w:val="20"/>
          <w:szCs w:val="20"/>
        </w:rPr>
      </w:pPr>
      <w:proofErr w:type="spellStart"/>
      <w:r w:rsidRPr="00EC23DA">
        <w:rPr>
          <w:rFonts w:ascii="Times New Roman" w:eastAsia="Times New Roman" w:hAnsi="Times New Roman" w:cs="Times New Roman"/>
          <w:sz w:val="20"/>
          <w:szCs w:val="20"/>
          <w:lang w:val="fr-FR"/>
        </w:rPr>
        <w:t>Zakhartchouk</w:t>
      </w:r>
      <w:proofErr w:type="spellEnd"/>
      <w:r w:rsidRPr="00EC23DA">
        <w:rPr>
          <w:rFonts w:ascii="Times New Roman" w:eastAsia="Times New Roman" w:hAnsi="Times New Roman" w:cs="Times New Roman"/>
          <w:sz w:val="20"/>
          <w:szCs w:val="20"/>
          <w:lang w:val="fr-FR"/>
        </w:rPr>
        <w:t xml:space="preserve">, J-M. </w:t>
      </w:r>
      <w:r w:rsidR="00326996" w:rsidRPr="00EC23DA">
        <w:rPr>
          <w:rFonts w:ascii="Times New Roman" w:eastAsia="Times New Roman" w:hAnsi="Times New Roman" w:cs="Times New Roman"/>
          <w:sz w:val="20"/>
          <w:szCs w:val="20"/>
          <w:lang w:val="fr-FR"/>
        </w:rPr>
        <w:t>(201</w:t>
      </w:r>
      <w:r w:rsidR="00E02177" w:rsidRPr="00EC23DA">
        <w:rPr>
          <w:rFonts w:ascii="Times New Roman" w:eastAsia="Times New Roman" w:hAnsi="Times New Roman" w:cs="Times New Roman"/>
          <w:sz w:val="20"/>
          <w:szCs w:val="20"/>
          <w:lang w:val="fr-FR"/>
        </w:rPr>
        <w:t>8</w:t>
      </w:r>
      <w:r w:rsidR="00326996" w:rsidRPr="00EC23DA">
        <w:rPr>
          <w:rFonts w:ascii="Times New Roman" w:eastAsia="Times New Roman" w:hAnsi="Times New Roman" w:cs="Times New Roman"/>
          <w:sz w:val="20"/>
          <w:szCs w:val="20"/>
          <w:lang w:val="fr-FR"/>
        </w:rPr>
        <w:t xml:space="preserve">). </w:t>
      </w:r>
      <w:r w:rsidR="00326996">
        <w:rPr>
          <w:rFonts w:ascii="Times New Roman" w:eastAsia="Times New Roman" w:hAnsi="Times New Roman" w:cs="Times New Roman"/>
          <w:sz w:val="20"/>
          <w:szCs w:val="20"/>
        </w:rPr>
        <w:t xml:space="preserve">Apprendre à apprendre, une composante essentielle de la médiation. Dans </w:t>
      </w:r>
      <w:r w:rsidR="00B91B77">
        <w:rPr>
          <w:rFonts w:ascii="Times New Roman" w:eastAsia="Times New Roman" w:hAnsi="Times New Roman" w:cs="Times New Roman"/>
          <w:sz w:val="20"/>
          <w:szCs w:val="20"/>
        </w:rPr>
        <w:t xml:space="preserve">Thérèse </w:t>
      </w:r>
      <w:proofErr w:type="spellStart"/>
      <w:r w:rsidR="005605CE">
        <w:rPr>
          <w:rFonts w:ascii="Times New Roman" w:eastAsia="Times New Roman" w:hAnsi="Times New Roman" w:cs="Times New Roman"/>
          <w:sz w:val="20"/>
          <w:szCs w:val="20"/>
        </w:rPr>
        <w:t>Auzou</w:t>
      </w:r>
      <w:r w:rsidR="00B91B77">
        <w:rPr>
          <w:rFonts w:ascii="Times New Roman" w:eastAsia="Times New Roman" w:hAnsi="Times New Roman" w:cs="Times New Roman"/>
          <w:sz w:val="20"/>
          <w:szCs w:val="20"/>
        </w:rPr>
        <w:t>-Caillemet</w:t>
      </w:r>
      <w:proofErr w:type="spellEnd"/>
      <w:r w:rsidR="00B91B77">
        <w:rPr>
          <w:rFonts w:ascii="Times New Roman" w:eastAsia="Times New Roman" w:hAnsi="Times New Roman" w:cs="Times New Roman"/>
          <w:sz w:val="20"/>
          <w:szCs w:val="20"/>
        </w:rPr>
        <w:t xml:space="preserve"> </w:t>
      </w:r>
      <w:r w:rsidR="00095BFF">
        <w:rPr>
          <w:rFonts w:ascii="Times New Roman" w:eastAsia="Times New Roman" w:hAnsi="Times New Roman" w:cs="Times New Roman"/>
          <w:sz w:val="20"/>
          <w:szCs w:val="20"/>
        </w:rPr>
        <w:t>&amp;</w:t>
      </w:r>
      <w:r w:rsidR="00B91B77">
        <w:rPr>
          <w:rFonts w:ascii="Times New Roman" w:eastAsia="Times New Roman" w:hAnsi="Times New Roman" w:cs="Times New Roman"/>
          <w:sz w:val="20"/>
          <w:szCs w:val="20"/>
        </w:rPr>
        <w:t xml:space="preserve"> </w:t>
      </w:r>
      <w:proofErr w:type="spellStart"/>
      <w:r w:rsidR="00E02177">
        <w:rPr>
          <w:rFonts w:ascii="Times New Roman" w:eastAsia="Times New Roman" w:hAnsi="Times New Roman" w:cs="Times New Roman"/>
          <w:sz w:val="20"/>
          <w:szCs w:val="20"/>
        </w:rPr>
        <w:t>Loret</w:t>
      </w:r>
      <w:proofErr w:type="spellEnd"/>
      <w:r w:rsidR="00E02177">
        <w:rPr>
          <w:rFonts w:ascii="Times New Roman" w:eastAsia="Times New Roman" w:hAnsi="Times New Roman" w:cs="Times New Roman"/>
          <w:sz w:val="20"/>
          <w:szCs w:val="20"/>
        </w:rPr>
        <w:t>, M. (</w:t>
      </w:r>
      <w:proofErr w:type="spellStart"/>
      <w:r w:rsidR="00E02177">
        <w:rPr>
          <w:rFonts w:ascii="Times New Roman" w:eastAsia="Times New Roman" w:hAnsi="Times New Roman" w:cs="Times New Roman"/>
          <w:sz w:val="20"/>
          <w:szCs w:val="20"/>
        </w:rPr>
        <w:t>Dir</w:t>
      </w:r>
      <w:proofErr w:type="spellEnd"/>
      <w:r w:rsidR="00E02177">
        <w:rPr>
          <w:rFonts w:ascii="Times New Roman" w:eastAsia="Times New Roman" w:hAnsi="Times New Roman" w:cs="Times New Roman"/>
          <w:sz w:val="20"/>
          <w:szCs w:val="20"/>
        </w:rPr>
        <w:t xml:space="preserve">.). </w:t>
      </w:r>
      <w:r w:rsidR="00E02177" w:rsidRPr="00E02177">
        <w:rPr>
          <w:rFonts w:ascii="Times New Roman" w:eastAsia="Times New Roman" w:hAnsi="Times New Roman" w:cs="Times New Roman"/>
          <w:i/>
          <w:iCs/>
          <w:sz w:val="20"/>
          <w:szCs w:val="20"/>
        </w:rPr>
        <w:t>Médiations et processus d’</w:t>
      </w:r>
      <w:proofErr w:type="spellStart"/>
      <w:r w:rsidR="00E02177" w:rsidRPr="00E02177">
        <w:rPr>
          <w:rFonts w:ascii="Times New Roman" w:eastAsia="Times New Roman" w:hAnsi="Times New Roman" w:cs="Times New Roman"/>
          <w:i/>
          <w:iCs/>
          <w:sz w:val="20"/>
          <w:szCs w:val="20"/>
        </w:rPr>
        <w:t>apprentisssage</w:t>
      </w:r>
      <w:proofErr w:type="spellEnd"/>
      <w:r w:rsidR="00D1712D">
        <w:rPr>
          <w:rFonts w:ascii="Times New Roman" w:eastAsia="Times New Roman" w:hAnsi="Times New Roman" w:cs="Times New Roman"/>
          <w:i/>
          <w:iCs/>
          <w:sz w:val="20"/>
          <w:szCs w:val="20"/>
        </w:rPr>
        <w:t xml:space="preserve"> </w:t>
      </w:r>
      <w:r w:rsidR="00D1712D">
        <w:rPr>
          <w:rFonts w:ascii="Times New Roman" w:eastAsia="Times New Roman" w:hAnsi="Times New Roman" w:cs="Times New Roman"/>
          <w:sz w:val="20"/>
          <w:szCs w:val="20"/>
        </w:rPr>
        <w:t>(pp. 195 – 224)</w:t>
      </w:r>
      <w:r w:rsidR="00326996">
        <w:rPr>
          <w:rFonts w:ascii="Times New Roman" w:eastAsia="Times New Roman" w:hAnsi="Times New Roman" w:cs="Times New Roman"/>
          <w:sz w:val="20"/>
          <w:szCs w:val="20"/>
        </w:rPr>
        <w:t xml:space="preserve">. Paris: </w:t>
      </w:r>
      <w:r w:rsidR="00D1712D">
        <w:rPr>
          <w:rFonts w:ascii="Times New Roman" w:eastAsia="Times New Roman" w:hAnsi="Times New Roman" w:cs="Times New Roman"/>
          <w:sz w:val="20"/>
          <w:szCs w:val="20"/>
        </w:rPr>
        <w:t>Éditions Retz.</w:t>
      </w:r>
      <w:bookmarkEnd w:id="0"/>
    </w:p>
    <w:sectPr w:rsidR="000E7EB5" w:rsidRPr="000E7EB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A3"/>
    <w:rsid w:val="000216E5"/>
    <w:rsid w:val="00095BFF"/>
    <w:rsid w:val="000D140B"/>
    <w:rsid w:val="000E7EB5"/>
    <w:rsid w:val="001621F3"/>
    <w:rsid w:val="00326996"/>
    <w:rsid w:val="003B0609"/>
    <w:rsid w:val="0040643C"/>
    <w:rsid w:val="00473075"/>
    <w:rsid w:val="005605CE"/>
    <w:rsid w:val="005C62D3"/>
    <w:rsid w:val="00603EFB"/>
    <w:rsid w:val="00670929"/>
    <w:rsid w:val="006D2B89"/>
    <w:rsid w:val="00760A77"/>
    <w:rsid w:val="00816F5A"/>
    <w:rsid w:val="00A46D81"/>
    <w:rsid w:val="00A848BE"/>
    <w:rsid w:val="00AC65F1"/>
    <w:rsid w:val="00AD77E5"/>
    <w:rsid w:val="00B91B77"/>
    <w:rsid w:val="00C54714"/>
    <w:rsid w:val="00D1712D"/>
    <w:rsid w:val="00D535A3"/>
    <w:rsid w:val="00E02177"/>
    <w:rsid w:val="00E572BA"/>
    <w:rsid w:val="00EC23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8D30"/>
  <w15:docId w15:val="{99114007-5833-F14B-8F2C-4EEA8CFF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customStyle="1" w:styleId="uppercase">
    <w:name w:val="uppercase"/>
    <w:basedOn w:val="Policepardfaut"/>
    <w:rsid w:val="000216E5"/>
  </w:style>
  <w:style w:type="character" w:styleId="Lienhypertexte">
    <w:name w:val="Hyperlink"/>
    <w:basedOn w:val="Policepardfaut"/>
    <w:uiPriority w:val="99"/>
    <w:unhideWhenUsed/>
    <w:rsid w:val="000216E5"/>
    <w:rPr>
      <w:color w:val="0000FF"/>
      <w:u w:val="single"/>
    </w:rPr>
  </w:style>
  <w:style w:type="character" w:customStyle="1" w:styleId="UnresolvedMention">
    <w:name w:val="Unresolved Mention"/>
    <w:basedOn w:val="Policepardfaut"/>
    <w:uiPriority w:val="99"/>
    <w:semiHidden/>
    <w:unhideWhenUsed/>
    <w:rsid w:val="00AD77E5"/>
    <w:rPr>
      <w:color w:val="605E5C"/>
      <w:shd w:val="clear" w:color="auto" w:fill="E1DFDD"/>
    </w:rPr>
  </w:style>
  <w:style w:type="character" w:styleId="Lienhypertextesuivivisit">
    <w:name w:val="FollowedHyperlink"/>
    <w:basedOn w:val="Policepardfaut"/>
    <w:uiPriority w:val="99"/>
    <w:semiHidden/>
    <w:unhideWhenUsed/>
    <w:rsid w:val="00760A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423671">
      <w:bodyDiv w:val="1"/>
      <w:marLeft w:val="0"/>
      <w:marRight w:val="0"/>
      <w:marTop w:val="0"/>
      <w:marBottom w:val="0"/>
      <w:divBdr>
        <w:top w:val="none" w:sz="0" w:space="0" w:color="auto"/>
        <w:left w:val="none" w:sz="0" w:space="0" w:color="auto"/>
        <w:bottom w:val="none" w:sz="0" w:space="0" w:color="auto"/>
        <w:right w:val="none" w:sz="0" w:space="0" w:color="auto"/>
      </w:divBdr>
    </w:div>
    <w:div w:id="2009865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3917/arco.barat.2013.01.00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917/ls.133.0007" TargetMode="External"/><Relationship Id="rId5" Type="http://schemas.openxmlformats.org/officeDocument/2006/relationships/hyperlink" Target="https://doi.org/10.3917/ls.167.0051" TargetMode="External"/><Relationship Id="rId4" Type="http://schemas.openxmlformats.org/officeDocument/2006/relationships/hyperlink" Target="https://doi.org/10.4000/alsic.318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708</Words>
  <Characters>3900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MIRAS (Personnel)</cp:lastModifiedBy>
  <cp:revision>4</cp:revision>
  <dcterms:created xsi:type="dcterms:W3CDTF">2021-07-05T02:09:00Z</dcterms:created>
  <dcterms:modified xsi:type="dcterms:W3CDTF">2021-07-05T06:03:00Z</dcterms:modified>
</cp:coreProperties>
</file>