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231B" w14:textId="3FABF7BF" w:rsidR="004D030D" w:rsidRPr="004D030D" w:rsidRDefault="004D030D" w:rsidP="004D03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30D">
        <w:rPr>
          <w:rFonts w:ascii="Times New Roman" w:eastAsia="Times New Roman" w:hAnsi="Times New Roman" w:cs="Times New Roman"/>
          <w:b/>
          <w:sz w:val="28"/>
          <w:szCs w:val="28"/>
        </w:rPr>
        <w:t>Le numérique dans l’enseignement-apprentissage de l’arabe</w:t>
      </w:r>
      <w:r w:rsidR="00094EF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02" w14:textId="7FED7AC3" w:rsidR="00B538B5" w:rsidRDefault="00094EFA" w:rsidP="004D03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Quelles </w:t>
      </w:r>
      <w:r w:rsidR="004D030D" w:rsidRPr="004D030D">
        <w:rPr>
          <w:rFonts w:ascii="Times New Roman" w:eastAsia="Times New Roman" w:hAnsi="Times New Roman" w:cs="Times New Roman"/>
          <w:b/>
          <w:sz w:val="28"/>
          <w:szCs w:val="28"/>
        </w:rPr>
        <w:t>pratiques pédagogiques et didactiques innovantes ?</w:t>
      </w:r>
    </w:p>
    <w:p w14:paraId="00000003" w14:textId="77777777" w:rsidR="00B538B5" w:rsidRPr="00D30160" w:rsidRDefault="00B538B5">
      <w:pPr>
        <w:jc w:val="both"/>
        <w:rPr>
          <w:rFonts w:ascii="Times New Roman" w:eastAsia="Times New Roman" w:hAnsi="Times New Roman" w:cs="Times New Roman"/>
          <w:b/>
          <w:sz w:val="12"/>
          <w:szCs w:val="28"/>
        </w:rPr>
      </w:pPr>
    </w:p>
    <w:p w14:paraId="00000004" w14:textId="70550879" w:rsidR="00B538B5" w:rsidRDefault="004D03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Karima</w:t>
      </w:r>
      <w:r w:rsidR="0009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GOUAICH</w:t>
      </w:r>
      <w:r w:rsidR="0009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ADEF</w:t>
      </w:r>
      <w:r w:rsidR="00094E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Aix-Marseille Univ.</w:t>
      </w:r>
      <w:r w:rsidR="0009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14:paraId="2E677919" w14:textId="741D3756" w:rsidR="004D030D" w:rsidRDefault="004D030D" w:rsidP="004D03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0D">
        <w:rPr>
          <w:rFonts w:ascii="Times New Roman" w:eastAsia="Times New Roman" w:hAnsi="Times New Roman" w:cs="Times New Roman"/>
          <w:sz w:val="24"/>
          <w:szCs w:val="24"/>
          <w:lang w:val="fr-FR"/>
        </w:rPr>
        <w:t>Élie</w:t>
      </w:r>
      <w:r w:rsidR="00094EFA" w:rsidRPr="004D03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4D030D">
        <w:rPr>
          <w:rFonts w:ascii="Times New Roman" w:eastAsia="Times New Roman" w:hAnsi="Times New Roman" w:cs="Times New Roman"/>
          <w:sz w:val="24"/>
          <w:szCs w:val="24"/>
          <w:lang w:val="fr-FR"/>
        </w:rPr>
        <w:t>FABIANI</w:t>
      </w:r>
      <w:r w:rsidR="00094EFA" w:rsidRPr="004D03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4D030D">
        <w:rPr>
          <w:rFonts w:ascii="Times New Roman" w:eastAsia="Times New Roman" w:hAnsi="Times New Roman" w:cs="Times New Roman"/>
          <w:sz w:val="24"/>
          <w:szCs w:val="24"/>
          <w:lang w:val="fr-FR"/>
        </w:rPr>
        <w:t>LNC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-CNRS</w:t>
      </w:r>
      <w:r w:rsidR="00094EFA" w:rsidRPr="004D03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Aix-Marseille Univ., FRANCE</w:t>
      </w:r>
    </w:p>
    <w:p w14:paraId="00000006" w14:textId="4BB0494E" w:rsidR="00B538B5" w:rsidRPr="004D030D" w:rsidRDefault="004D030D" w:rsidP="004D03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Jean-Luc, VELAY, </w:t>
      </w:r>
      <w:r w:rsidRPr="004D030D">
        <w:rPr>
          <w:rFonts w:ascii="Times New Roman" w:eastAsia="Times New Roman" w:hAnsi="Times New Roman" w:cs="Times New Roman"/>
          <w:sz w:val="24"/>
          <w:szCs w:val="24"/>
          <w:lang w:val="fr-FR"/>
        </w:rPr>
        <w:t>LNC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-CNRS</w:t>
      </w:r>
      <w:r w:rsidRPr="004D03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Aix-Marseille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FRANCE</w:t>
      </w:r>
    </w:p>
    <w:p w14:paraId="00000007" w14:textId="77777777" w:rsidR="00B538B5" w:rsidRPr="00D30160" w:rsidRDefault="00B538B5">
      <w:pPr>
        <w:jc w:val="both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00000008" w14:textId="61E76B24" w:rsidR="00B538B5" w:rsidRPr="004D030D" w:rsidRDefault="00094EFA" w:rsidP="004D030D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D030D">
        <w:rPr>
          <w:rFonts w:ascii="Times New Roman" w:eastAsia="Times New Roman" w:hAnsi="Times New Roman" w:cs="Times New Roman"/>
          <w:i/>
          <w:sz w:val="20"/>
          <w:szCs w:val="20"/>
        </w:rPr>
        <w:t xml:space="preserve">Mots-clés — </w:t>
      </w:r>
      <w:r w:rsidR="004D030D">
        <w:rPr>
          <w:rFonts w:ascii="Times New Roman" w:eastAsia="Times New Roman" w:hAnsi="Times New Roman" w:cs="Times New Roman"/>
          <w:i/>
          <w:sz w:val="20"/>
          <w:szCs w:val="20"/>
        </w:rPr>
        <w:t xml:space="preserve">Enseignement-apprentissage, arabe langue étrangère, numérique éducatif, innovation pédagogique, innovation didactique </w:t>
      </w:r>
    </w:p>
    <w:p w14:paraId="00000009" w14:textId="77777777" w:rsidR="00B538B5" w:rsidRPr="00D30160" w:rsidRDefault="00B538B5">
      <w:pPr>
        <w:jc w:val="both"/>
        <w:rPr>
          <w:rFonts w:ascii="Times New Roman" w:eastAsia="Times New Roman" w:hAnsi="Times New Roman" w:cs="Times New Roman"/>
          <w:i/>
          <w:sz w:val="12"/>
          <w:szCs w:val="20"/>
        </w:rPr>
      </w:pPr>
      <w:bookmarkStart w:id="0" w:name="_GoBack"/>
      <w:bookmarkEnd w:id="0"/>
    </w:p>
    <w:p w14:paraId="0000000C" w14:textId="37C8BBD2" w:rsidR="00B538B5" w:rsidRDefault="004D030D" w:rsidP="00094EFA">
      <w:pPr>
        <w:jc w:val="both"/>
        <w:rPr>
          <w:rFonts w:ascii="Times New Roman" w:eastAsia="Times New Roman" w:hAnsi="Times New Roman" w:cs="Times New Roman"/>
        </w:rPr>
      </w:pPr>
      <w:r w:rsidRPr="004D030D">
        <w:rPr>
          <w:rFonts w:ascii="Times New Roman" w:eastAsia="Times New Roman" w:hAnsi="Times New Roman" w:cs="Times New Roman"/>
        </w:rPr>
        <w:t>Cette communication a pour but d’interroger les enjeux du numérique dans l’enseignement</w:t>
      </w:r>
      <w:r>
        <w:rPr>
          <w:rFonts w:ascii="Times New Roman" w:eastAsia="Times New Roman" w:hAnsi="Times New Roman" w:cs="Times New Roman"/>
        </w:rPr>
        <w:t>-</w:t>
      </w:r>
      <w:r w:rsidRPr="004D030D">
        <w:rPr>
          <w:rFonts w:ascii="Times New Roman" w:eastAsia="Times New Roman" w:hAnsi="Times New Roman" w:cs="Times New Roman"/>
        </w:rPr>
        <w:t>apprentissage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de l’arabe en France comme langue vivante étrangère. Des contraintes liées à la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recherche et à la formation contribuent à isoler cette discipline : Seul dans sa classe, l’enseignant se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retrouve à concevoir et à expérimenter des supports didactiques pour pallier les difficultés de ses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élèves (Pinon, 2021). Ce constat incite à se pencher sur la question de l’intérêt des technologies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numériques en vue d’améliorer l’enseignement-apprentissage de l’arabe.</w:t>
      </w:r>
      <w:r w:rsidR="00D30160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 xml:space="preserve">Notre contribution s’inscrit dans le cadre du projet e-FRAN1 </w:t>
      </w:r>
      <w:proofErr w:type="spellStart"/>
      <w:r w:rsidRPr="004D030D">
        <w:rPr>
          <w:rFonts w:ascii="Times New Roman" w:eastAsia="Times New Roman" w:hAnsi="Times New Roman" w:cs="Times New Roman"/>
        </w:rPr>
        <w:t>Arabesc</w:t>
      </w:r>
      <w:proofErr w:type="spellEnd"/>
      <w:r w:rsidRPr="004D030D">
        <w:rPr>
          <w:rFonts w:ascii="Times New Roman" w:eastAsia="Times New Roman" w:hAnsi="Times New Roman" w:cs="Times New Roman"/>
        </w:rPr>
        <w:t xml:space="preserve"> (PIA2), Apprentissage de l'arabe :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écrire au stylo ou au clavier, qui porte sur 74 élèves de 6e inscrits en option langue arabe dans un collège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situé en zone REP2 à Marseille. Les recherches menées visent à i) comparer l’apprentissage de l’écriture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de l’arabe à la main et au clavier, avec des tablettes numériques ; ii) étudier les pratiques pédagogiques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numériques des enseignants en vue de produire des outils numériques adaptés à l’apprentissage de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l’écriture arabe. Dans cette présentation, nous interrogeons l’impact des outils numériques, en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l’occurrence des tablettes, sur les contenus et les pratiques d’enseignement de l’écriture, ainsi que sur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les interactions didactiques entre enseignant et élèves. L’appropriation progressive des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outils numériques par les acteurs transforme-t-elle le discours pédagogique, permet-elle de réduire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les difficultés phono-graphématiques souvent rencontrées par les élèves (Pinon, 2013) ?</w:t>
      </w:r>
      <w:r w:rsidR="00D30160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 xml:space="preserve">Notre étude, qui s’inscrit dans une approche ethnographique (Cambra </w:t>
      </w:r>
      <w:proofErr w:type="spellStart"/>
      <w:r w:rsidRPr="004D030D">
        <w:rPr>
          <w:rFonts w:ascii="Times New Roman" w:eastAsia="Times New Roman" w:hAnsi="Times New Roman" w:cs="Times New Roman"/>
        </w:rPr>
        <w:t>Giné</w:t>
      </w:r>
      <w:proofErr w:type="spellEnd"/>
      <w:r w:rsidRPr="004D030D">
        <w:rPr>
          <w:rFonts w:ascii="Times New Roman" w:eastAsia="Times New Roman" w:hAnsi="Times New Roman" w:cs="Times New Roman"/>
        </w:rPr>
        <w:t>, 2003), s’appuie sur deux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analyses du corpus : la première, portant sur les interactions didactiques dans trois séances de classe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(avec et sans outils numériques), et complétée par des observations de classe réalisées sur le terrain.</w:t>
      </w:r>
      <w:r w:rsidR="00D30160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 xml:space="preserve">Et la seconde, concernant trois entretiens organisés avec les enseignants au </w:t>
      </w:r>
      <w:r w:rsidR="00094EFA" w:rsidRPr="004D030D">
        <w:rPr>
          <w:rFonts w:ascii="Times New Roman" w:eastAsia="Times New Roman" w:hAnsi="Times New Roman" w:cs="Times New Roman"/>
        </w:rPr>
        <w:t>cœur</w:t>
      </w:r>
      <w:r w:rsidRPr="004D030D">
        <w:rPr>
          <w:rFonts w:ascii="Times New Roman" w:eastAsia="Times New Roman" w:hAnsi="Times New Roman" w:cs="Times New Roman"/>
        </w:rPr>
        <w:t xml:space="preserve"> du projet. Les</w:t>
      </w:r>
      <w:r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résultats, issus d’une analyse croisée des données, mettent en évidence un certain nombre de</w:t>
      </w:r>
      <w:r w:rsidR="00094EFA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contraintes pédagogiques liées à l’utilisation des tablettes (</w:t>
      </w:r>
      <w:proofErr w:type="spellStart"/>
      <w:r w:rsidRPr="004D030D">
        <w:rPr>
          <w:rFonts w:ascii="Times New Roman" w:eastAsia="Times New Roman" w:hAnsi="Times New Roman" w:cs="Times New Roman"/>
        </w:rPr>
        <w:t>Azaoui</w:t>
      </w:r>
      <w:proofErr w:type="spellEnd"/>
      <w:r w:rsidRPr="004D030D">
        <w:rPr>
          <w:rFonts w:ascii="Times New Roman" w:eastAsia="Times New Roman" w:hAnsi="Times New Roman" w:cs="Times New Roman"/>
        </w:rPr>
        <w:t xml:space="preserve">, Combe &amp; </w:t>
      </w:r>
      <w:proofErr w:type="spellStart"/>
      <w:r w:rsidRPr="004D030D">
        <w:rPr>
          <w:rFonts w:ascii="Times New Roman" w:eastAsia="Times New Roman" w:hAnsi="Times New Roman" w:cs="Times New Roman"/>
        </w:rPr>
        <w:t>Cappellini</w:t>
      </w:r>
      <w:proofErr w:type="spellEnd"/>
      <w:r w:rsidRPr="004D030D">
        <w:rPr>
          <w:rFonts w:ascii="Times New Roman" w:eastAsia="Times New Roman" w:hAnsi="Times New Roman" w:cs="Times New Roman"/>
        </w:rPr>
        <w:t>, 2019). Ils</w:t>
      </w:r>
      <w:r w:rsidR="00094EFA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mettent également au jour des affordances numériques (</w:t>
      </w:r>
      <w:proofErr w:type="spellStart"/>
      <w:r w:rsidRPr="004D030D">
        <w:rPr>
          <w:rFonts w:ascii="Times New Roman" w:eastAsia="Times New Roman" w:hAnsi="Times New Roman" w:cs="Times New Roman"/>
        </w:rPr>
        <w:t>Ghliss</w:t>
      </w:r>
      <w:proofErr w:type="spellEnd"/>
      <w:r w:rsidRPr="004D030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D030D">
        <w:rPr>
          <w:rFonts w:ascii="Times New Roman" w:eastAsia="Times New Roman" w:hAnsi="Times New Roman" w:cs="Times New Roman"/>
        </w:rPr>
        <w:t>Perea</w:t>
      </w:r>
      <w:proofErr w:type="spellEnd"/>
      <w:r w:rsidRPr="004D030D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Pr="004D030D">
        <w:rPr>
          <w:rFonts w:ascii="Times New Roman" w:eastAsia="Times New Roman" w:hAnsi="Times New Roman" w:cs="Times New Roman"/>
        </w:rPr>
        <w:t>Ruchon</w:t>
      </w:r>
      <w:proofErr w:type="spellEnd"/>
      <w:r w:rsidRPr="004D030D">
        <w:rPr>
          <w:rFonts w:ascii="Times New Roman" w:eastAsia="Times New Roman" w:hAnsi="Times New Roman" w:cs="Times New Roman"/>
        </w:rPr>
        <w:t>, 2019) qui permettent</w:t>
      </w:r>
      <w:r w:rsidR="00094EFA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de faciliter l’écriture, notamment les dimensions de décodage-encodage, de composition</w:t>
      </w:r>
      <w:r w:rsidR="00094EFA">
        <w:rPr>
          <w:rFonts w:ascii="Times New Roman" w:eastAsia="Times New Roman" w:hAnsi="Times New Roman" w:cs="Times New Roman"/>
        </w:rPr>
        <w:t>/</w:t>
      </w:r>
      <w:r w:rsidRPr="004D030D">
        <w:rPr>
          <w:rFonts w:ascii="Times New Roman" w:eastAsia="Times New Roman" w:hAnsi="Times New Roman" w:cs="Times New Roman"/>
        </w:rPr>
        <w:t>décomposition</w:t>
      </w:r>
      <w:r w:rsidR="00094EFA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des mots. Dans un système « ordinaire », les spécificités du système graphique de</w:t>
      </w:r>
      <w:r w:rsidR="00094EFA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l’arabe supposent des implications pédagogiques et didactiques couteuses pour l’enseignant et pour</w:t>
      </w:r>
      <w:r w:rsidR="00094EFA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l’élève. Les résultats de notre étude, bien que non représentatifs, semblent ouvrir une voie</w:t>
      </w:r>
      <w:r w:rsidR="00094EFA">
        <w:rPr>
          <w:rFonts w:ascii="Times New Roman" w:eastAsia="Times New Roman" w:hAnsi="Times New Roman" w:cs="Times New Roman"/>
        </w:rPr>
        <w:t xml:space="preserve"> </w:t>
      </w:r>
      <w:r w:rsidRPr="004D030D">
        <w:rPr>
          <w:rFonts w:ascii="Times New Roman" w:eastAsia="Times New Roman" w:hAnsi="Times New Roman" w:cs="Times New Roman"/>
        </w:rPr>
        <w:t>intéressante à une réflexion autour de l’innovation dans l’enseignement de l’écriture arabe</w:t>
      </w:r>
      <w:r w:rsidR="00094EFA">
        <w:rPr>
          <w:rFonts w:ascii="Times New Roman" w:eastAsia="Times New Roman" w:hAnsi="Times New Roman" w:cs="Times New Roman"/>
        </w:rPr>
        <w:t>.</w:t>
      </w:r>
    </w:p>
    <w:p w14:paraId="0000000E" w14:textId="77777777" w:rsidR="00B538B5" w:rsidRDefault="00B538B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E10401" w14:textId="0A0CBC27" w:rsidR="00094EFA" w:rsidRPr="00094EFA" w:rsidRDefault="00094EFA" w:rsidP="00094EFA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094EFA">
        <w:rPr>
          <w:rFonts w:ascii="Times New Roman" w:eastAsia="Times New Roman" w:hAnsi="Times New Roman" w:cs="Times New Roman"/>
          <w:sz w:val="20"/>
          <w:szCs w:val="20"/>
        </w:rPr>
        <w:t>Azaoui,B</w:t>
      </w:r>
      <w:proofErr w:type="spellEnd"/>
      <w:r w:rsidRPr="00094EF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094EFA">
        <w:rPr>
          <w:rFonts w:ascii="Times New Roman" w:eastAsia="Times New Roman" w:hAnsi="Times New Roman" w:cs="Times New Roman"/>
          <w:sz w:val="20"/>
          <w:szCs w:val="20"/>
        </w:rPr>
        <w:t xml:space="preserve">, Combe-Celik, C. &amp; </w:t>
      </w:r>
      <w:proofErr w:type="spellStart"/>
      <w:r w:rsidRPr="00094EFA">
        <w:rPr>
          <w:rFonts w:ascii="Times New Roman" w:eastAsia="Times New Roman" w:hAnsi="Times New Roman" w:cs="Times New Roman"/>
          <w:sz w:val="20"/>
          <w:szCs w:val="20"/>
        </w:rPr>
        <w:t>Cappellini</w:t>
      </w:r>
      <w:proofErr w:type="spellEnd"/>
      <w:r w:rsidRPr="00094EFA">
        <w:rPr>
          <w:rFonts w:ascii="Times New Roman" w:eastAsia="Times New Roman" w:hAnsi="Times New Roman" w:cs="Times New Roman"/>
          <w:sz w:val="20"/>
          <w:szCs w:val="20"/>
        </w:rPr>
        <w:t>, M. (2019). Usages et représentations des tablettes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4EFA">
        <w:rPr>
          <w:rFonts w:ascii="Times New Roman" w:eastAsia="Times New Roman" w:hAnsi="Times New Roman" w:cs="Times New Roman"/>
          <w:sz w:val="20"/>
          <w:szCs w:val="20"/>
        </w:rPr>
        <w:t>dans les foyers et à l’école : quelle continuité ? Nouveaux cahiers de la recherche en éducation,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4EFA">
        <w:rPr>
          <w:rFonts w:ascii="Times New Roman" w:eastAsia="Times New Roman" w:hAnsi="Times New Roman" w:cs="Times New Roman"/>
          <w:sz w:val="20"/>
          <w:szCs w:val="20"/>
        </w:rPr>
        <w:t>21(3),75-97.</w:t>
      </w:r>
    </w:p>
    <w:p w14:paraId="5663710E" w14:textId="7061331F" w:rsidR="00094EFA" w:rsidRDefault="00094EFA" w:rsidP="00094EFA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4EFA">
        <w:rPr>
          <w:rFonts w:ascii="Times New Roman" w:eastAsia="Times New Roman" w:hAnsi="Times New Roman" w:cs="Times New Roman"/>
          <w:sz w:val="20"/>
          <w:szCs w:val="20"/>
        </w:rPr>
        <w:t xml:space="preserve">Cambra </w:t>
      </w:r>
      <w:proofErr w:type="spellStart"/>
      <w:r w:rsidRPr="00094EFA">
        <w:rPr>
          <w:rFonts w:ascii="Times New Roman" w:eastAsia="Times New Roman" w:hAnsi="Times New Roman" w:cs="Times New Roman"/>
          <w:sz w:val="20"/>
          <w:szCs w:val="20"/>
        </w:rPr>
        <w:t>Giné</w:t>
      </w:r>
      <w:proofErr w:type="spellEnd"/>
      <w:r w:rsidRPr="00094EFA">
        <w:rPr>
          <w:rFonts w:ascii="Times New Roman" w:eastAsia="Times New Roman" w:hAnsi="Times New Roman" w:cs="Times New Roman"/>
          <w:sz w:val="20"/>
          <w:szCs w:val="20"/>
        </w:rPr>
        <w:t>, M. (2003). Une approche ethnographique de la classe de langue. Paris : Didier.</w:t>
      </w:r>
    </w:p>
    <w:p w14:paraId="33A83427" w14:textId="3EBD38B8" w:rsidR="00094EFA" w:rsidRPr="00094EFA" w:rsidRDefault="00094EFA" w:rsidP="00094EFA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94EFA">
        <w:rPr>
          <w:rFonts w:ascii="Times New Roman" w:eastAsia="Times New Roman" w:hAnsi="Times New Roman" w:cs="Times New Roman"/>
          <w:sz w:val="20"/>
          <w:szCs w:val="20"/>
        </w:rPr>
        <w:t>Ghliss</w:t>
      </w:r>
      <w:proofErr w:type="spellEnd"/>
      <w:r w:rsidRPr="00094EFA">
        <w:rPr>
          <w:rFonts w:ascii="Times New Roman" w:eastAsia="Times New Roman" w:hAnsi="Times New Roman" w:cs="Times New Roman"/>
          <w:sz w:val="20"/>
          <w:szCs w:val="20"/>
        </w:rPr>
        <w:t xml:space="preserve">, Y., </w:t>
      </w:r>
      <w:proofErr w:type="spellStart"/>
      <w:r w:rsidRPr="00094EFA">
        <w:rPr>
          <w:rFonts w:ascii="Times New Roman" w:eastAsia="Times New Roman" w:hAnsi="Times New Roman" w:cs="Times New Roman"/>
          <w:sz w:val="20"/>
          <w:szCs w:val="20"/>
        </w:rPr>
        <w:t>Perea</w:t>
      </w:r>
      <w:proofErr w:type="spellEnd"/>
      <w:r w:rsidRPr="00094EFA">
        <w:rPr>
          <w:rFonts w:ascii="Times New Roman" w:eastAsia="Times New Roman" w:hAnsi="Times New Roman" w:cs="Times New Roman"/>
          <w:sz w:val="20"/>
          <w:szCs w:val="20"/>
        </w:rPr>
        <w:t xml:space="preserve">, F. &amp; </w:t>
      </w:r>
      <w:proofErr w:type="spellStart"/>
      <w:r w:rsidRPr="00094EFA">
        <w:rPr>
          <w:rFonts w:ascii="Times New Roman" w:eastAsia="Times New Roman" w:hAnsi="Times New Roman" w:cs="Times New Roman"/>
          <w:sz w:val="20"/>
          <w:szCs w:val="20"/>
        </w:rPr>
        <w:t>Ruchon</w:t>
      </w:r>
      <w:proofErr w:type="spellEnd"/>
      <w:r w:rsidRPr="00094EFA">
        <w:rPr>
          <w:rFonts w:ascii="Times New Roman" w:eastAsia="Times New Roman" w:hAnsi="Times New Roman" w:cs="Times New Roman"/>
          <w:sz w:val="20"/>
          <w:szCs w:val="20"/>
        </w:rPr>
        <w:t>, C. (2019). Les affordances langagières, levier d’une réflexion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94EFA">
        <w:rPr>
          <w:rFonts w:ascii="Times New Roman" w:eastAsia="Times New Roman" w:hAnsi="Times New Roman" w:cs="Times New Roman"/>
          <w:sz w:val="20"/>
          <w:szCs w:val="20"/>
        </w:rPr>
        <w:t>postdualiste</w:t>
      </w:r>
      <w:proofErr w:type="spellEnd"/>
      <w:r w:rsidRPr="00094EFA">
        <w:rPr>
          <w:rFonts w:ascii="Times New Roman" w:eastAsia="Times New Roman" w:hAnsi="Times New Roman" w:cs="Times New Roman"/>
          <w:sz w:val="20"/>
          <w:szCs w:val="20"/>
        </w:rPr>
        <w:t xml:space="preserve"> du discours numérique ? </w:t>
      </w:r>
      <w:proofErr w:type="spellStart"/>
      <w:r w:rsidRPr="00094EFA">
        <w:rPr>
          <w:rFonts w:ascii="Times New Roman" w:eastAsia="Times New Roman" w:hAnsi="Times New Roman" w:cs="Times New Roman"/>
          <w:sz w:val="20"/>
          <w:szCs w:val="20"/>
        </w:rPr>
        <w:t>Corela</w:t>
      </w:r>
      <w:proofErr w:type="spellEnd"/>
      <w:r w:rsidRPr="00094EFA">
        <w:rPr>
          <w:rFonts w:ascii="Times New Roman" w:eastAsia="Times New Roman" w:hAnsi="Times New Roman" w:cs="Times New Roman"/>
          <w:sz w:val="20"/>
          <w:szCs w:val="20"/>
        </w:rPr>
        <w:t>, 28. https://doi.org/10.4000/corela.8282</w:t>
      </w:r>
    </w:p>
    <w:p w14:paraId="3F822A5E" w14:textId="75E6DCC7" w:rsidR="00094EFA" w:rsidRPr="00094EFA" w:rsidRDefault="00094EFA" w:rsidP="00094EFA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4EFA">
        <w:rPr>
          <w:rFonts w:ascii="Times New Roman" w:eastAsia="Times New Roman" w:hAnsi="Times New Roman" w:cs="Times New Roman"/>
          <w:sz w:val="20"/>
          <w:szCs w:val="20"/>
        </w:rPr>
        <w:t>Pinon, C. (2013). Gérer la charge émotionnelle liée à la langue arabe : Un défi pour 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4EFA">
        <w:rPr>
          <w:rFonts w:ascii="Times New Roman" w:eastAsia="Times New Roman" w:hAnsi="Times New Roman" w:cs="Times New Roman"/>
          <w:sz w:val="20"/>
          <w:szCs w:val="20"/>
        </w:rPr>
        <w:t xml:space="preserve">professeur de langue étrangère. </w:t>
      </w:r>
      <w:proofErr w:type="spellStart"/>
      <w:r w:rsidRPr="00094EFA">
        <w:rPr>
          <w:rFonts w:ascii="Times New Roman" w:eastAsia="Times New Roman" w:hAnsi="Times New Roman" w:cs="Times New Roman"/>
          <w:sz w:val="20"/>
          <w:szCs w:val="20"/>
        </w:rPr>
        <w:t>Lidil</w:t>
      </w:r>
      <w:proofErr w:type="spellEnd"/>
      <w:r w:rsidRPr="00094EFA">
        <w:rPr>
          <w:rFonts w:ascii="Times New Roman" w:eastAsia="Times New Roman" w:hAnsi="Times New Roman" w:cs="Times New Roman"/>
          <w:sz w:val="20"/>
          <w:szCs w:val="20"/>
        </w:rPr>
        <w:t>, 48, 115‑135.</w:t>
      </w:r>
    </w:p>
    <w:p w14:paraId="00000017" w14:textId="548B783C" w:rsidR="00B538B5" w:rsidRDefault="00094EFA" w:rsidP="00094EFA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4EFA">
        <w:rPr>
          <w:rFonts w:ascii="Times New Roman" w:eastAsia="Times New Roman" w:hAnsi="Times New Roman" w:cs="Times New Roman"/>
          <w:sz w:val="20"/>
          <w:szCs w:val="20"/>
        </w:rPr>
        <w:t>Pinon, C. (2021). Dispositifs multimodaux et créatifs en arabe langue étrangère : des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4EFA">
        <w:rPr>
          <w:rFonts w:ascii="Times New Roman" w:eastAsia="Times New Roman" w:hAnsi="Times New Roman" w:cs="Times New Roman"/>
          <w:sz w:val="20"/>
          <w:szCs w:val="20"/>
        </w:rPr>
        <w:t>innovations pour lutter contre l'échec. Communication présentée au 2nd Colloque SFERE-Provence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4EFA">
        <w:rPr>
          <w:rFonts w:ascii="Times New Roman" w:eastAsia="Times New Roman" w:hAnsi="Times New Roman" w:cs="Times New Roman"/>
          <w:sz w:val="20"/>
          <w:szCs w:val="20"/>
        </w:rPr>
        <w:t>(FED4238) / AMPIRIC - Apprentissages, stratégies et politiques éducatives. Quelles interdisciplinarités,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4EFA">
        <w:rPr>
          <w:rFonts w:ascii="Times New Roman" w:eastAsia="Times New Roman" w:hAnsi="Times New Roman" w:cs="Times New Roman"/>
          <w:sz w:val="20"/>
          <w:szCs w:val="20"/>
        </w:rPr>
        <w:t>méthodologies et perspectives internationales ? (30-31 mars 2021).</w:t>
      </w:r>
    </w:p>
    <w:sectPr w:rsidR="00B538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B5"/>
    <w:rsid w:val="00094EFA"/>
    <w:rsid w:val="004D030D"/>
    <w:rsid w:val="00B538B5"/>
    <w:rsid w:val="00D3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F669"/>
  <w15:docId w15:val="{91045134-B734-4D7F-86A2-4C975AF1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GOUAICH</dc:creator>
  <cp:lastModifiedBy>GREGORY MIRAS (Personnel)</cp:lastModifiedBy>
  <cp:revision>3</cp:revision>
  <dcterms:created xsi:type="dcterms:W3CDTF">2021-05-27T20:50:00Z</dcterms:created>
  <dcterms:modified xsi:type="dcterms:W3CDTF">2021-05-31T11:29:00Z</dcterms:modified>
</cp:coreProperties>
</file>