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96" w:rsidRDefault="00FE7DC7">
      <w:pPr>
        <w:spacing w:after="0" w:line="275" w:lineRule="auto"/>
        <w:ind w:left="0" w:firstLine="0"/>
        <w:jc w:val="center"/>
      </w:pPr>
      <w:bookmarkStart w:id="0" w:name="_GoBack"/>
      <w:bookmarkEnd w:id="0"/>
      <w:r>
        <w:rPr>
          <w:b/>
          <w:sz w:val="28"/>
        </w:rPr>
        <w:t xml:space="preserve">Intégrer les variations terminologiques : enjeux théoriques et méthodologiques </w:t>
      </w:r>
    </w:p>
    <w:p w:rsidR="00DC4396" w:rsidRDefault="00FE7DC7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DC4396" w:rsidRDefault="00FE7DC7">
      <w:pPr>
        <w:spacing w:after="21" w:line="259" w:lineRule="auto"/>
        <w:ind w:left="0" w:firstLine="0"/>
        <w:jc w:val="left"/>
      </w:pPr>
      <w:r>
        <w:rPr>
          <w:sz w:val="24"/>
        </w:rPr>
        <w:t xml:space="preserve">Valérie, DELAVIGNE, Clesthia EA 7345, Université Sorbonne Nouvelle, FRANCE </w:t>
      </w:r>
    </w:p>
    <w:p w:rsidR="00DC4396" w:rsidRDefault="00FE7DC7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C4396" w:rsidRDefault="00FE7DC7">
      <w:pPr>
        <w:spacing w:after="32" w:line="259" w:lineRule="auto"/>
        <w:ind w:left="-5"/>
        <w:jc w:val="left"/>
      </w:pPr>
      <w:r>
        <w:rPr>
          <w:i/>
          <w:sz w:val="20"/>
        </w:rPr>
        <w:t xml:space="preserve">Mots-clés — </w:t>
      </w:r>
      <w:r>
        <w:rPr>
          <w:i/>
          <w:sz w:val="20"/>
        </w:rPr>
        <w:t xml:space="preserve">socioterminologie, terminologie, variations, discours spécialisés, ressources terminologiques </w:t>
      </w:r>
    </w:p>
    <w:p w:rsidR="00DC4396" w:rsidRDefault="00FE7DC7">
      <w:pPr>
        <w:spacing w:after="18" w:line="259" w:lineRule="auto"/>
        <w:ind w:left="0" w:firstLine="0"/>
        <w:jc w:val="left"/>
      </w:pPr>
      <w:r>
        <w:t xml:space="preserve"> </w:t>
      </w:r>
    </w:p>
    <w:p w:rsidR="00DC4396" w:rsidRDefault="00FE7DC7">
      <w:pPr>
        <w:ind w:left="-5" w:right="-13"/>
      </w:pPr>
      <w:r>
        <w:t>Les discours spécialisés se caractérisent par la mise en œuvre de terminologies spécifiques à une pratique culturelle située. Ces unités lexicales à la définit</w:t>
      </w:r>
      <w:r>
        <w:t>ion stabilisée dans des communautés discursives données et au statut sémiotique spécifié par les normes en vigueur (ISO 704 et 1087) – statut mouvant selon les corpus</w:t>
      </w:r>
      <w:r>
        <w:rPr>
          <w:i/>
        </w:rPr>
        <w:t xml:space="preserve"> </w:t>
      </w:r>
      <w:r>
        <w:t>(Gaudin, 2003; Petit, 2005)</w:t>
      </w:r>
      <w:r>
        <w:rPr>
          <w:i/>
        </w:rPr>
        <w:t xml:space="preserve"> </w:t>
      </w:r>
      <w:r>
        <w:t>– sont soumises à des variations de différents niveaux lingui</w:t>
      </w:r>
      <w:r>
        <w:t>stiques, à relier de facto à la situation, au genre discursif dans lesquels elles apparaissent, au thème abordé et ses enjeux, voire à la visée applicative. Car, le fait est aujourd’hui admis, les discours spécialisés ne dérogent pas aux règles de la langu</w:t>
      </w:r>
      <w:r>
        <w:t>e : on y repère de la variation sous toutes ses formes, inhérente au fonctionnement du système langagier qu’ils mettent en œuvre. Analyser le fonctionnement des termes invite dès lors à mettre leurs usages en relation avec la diversité des discours dans le</w:t>
      </w:r>
      <w:r>
        <w:t xml:space="preserve">squels ils apparaissent, ce à quoi un certain nombre de travaux se sont attachés (voir Drouin </w:t>
      </w:r>
      <w:r>
        <w:rPr>
          <w:i/>
        </w:rPr>
        <w:t>et al.</w:t>
      </w:r>
      <w:r>
        <w:t xml:space="preserve">, 2017 par exemple).  </w:t>
      </w:r>
    </w:p>
    <w:p w:rsidR="00DC4396" w:rsidRDefault="00FE7DC7">
      <w:pPr>
        <w:ind w:left="-5" w:right="-13"/>
      </w:pPr>
      <w:r>
        <w:t>Rappelons que le terme n’est tel qu’en discours. C’est la situation de production, de circulation, de réception et d’interprétation q</w:t>
      </w:r>
      <w:r>
        <w:t>ui lui attribue ce statut, autrement dit les objectifs et les enjeux du discours, voire ceux du terminologue (Delavigne &amp; Gaudin, 2021). Ces considérations pourraient sembler très générales ; elles sont cependant d’importance dès lors que l’on souhaite con</w:t>
      </w:r>
      <w:r>
        <w:t xml:space="preserve">stituer une ressource terminologique quelle qu’elle soit, base de données, dictionnaire ou autre glossaire. Si la première tâche est le repérage d’unités susceptibles d’être « instituées » en termes, les phénomènes de variation viennent souvent compliquer </w:t>
      </w:r>
      <w:r>
        <w:t>la chose (Delavigne, 2012). La question qui se pose aujourd’hui est celle de l’« implémentation » de ces variations dans des ressources terminologiques. Comment intégrer la diversité sociolinguistique ? Sous quelle forme ? Quelle place leur donner ?  Outre</w:t>
      </w:r>
      <w:r>
        <w:t xml:space="preserve"> les aspects théoriques que ces questions engagent, elles se posent à nous dans le cadre  d’un projet lexicographique en cours. Nous nous proposons d’articuler notre propos de la façon suivante : après un rapide retour sur les variations émergeant du corpu</w:t>
      </w:r>
      <w:r>
        <w:t>s, nous souhaiterions discuter de la façon dont elles peuvent intégrer une ressource élaborée dans une perspective « d’équipement » terminologique, en y associant des enjeux sociolinguistiques. Ce sera l’occasion d’évoquer la question de l’interface avec l</w:t>
      </w:r>
      <w:r>
        <w:t xml:space="preserve">e corpus. </w:t>
      </w:r>
    </w:p>
    <w:p w:rsidR="00DC4396" w:rsidRDefault="00FE7DC7">
      <w:pPr>
        <w:spacing w:after="3" w:line="259" w:lineRule="auto"/>
        <w:ind w:left="0" w:firstLine="0"/>
        <w:jc w:val="left"/>
      </w:pPr>
      <w:r>
        <w:t xml:space="preserve"> </w:t>
      </w:r>
    </w:p>
    <w:p w:rsidR="00DC4396" w:rsidRDefault="00FE7DC7">
      <w:pPr>
        <w:spacing w:after="2" w:line="240" w:lineRule="auto"/>
        <w:ind w:left="715" w:right="-10" w:hanging="730"/>
      </w:pPr>
      <w:r>
        <w:rPr>
          <w:sz w:val="20"/>
        </w:rPr>
        <w:t>Delavigne, V. (2012). Peut-on ”traduire” les mots des experts</w:t>
      </w:r>
      <w:r>
        <w:rPr>
          <w:sz w:val="20"/>
        </w:rPr>
        <w:t> </w:t>
      </w:r>
      <w:r>
        <w:rPr>
          <w:sz w:val="20"/>
        </w:rPr>
        <w:t xml:space="preserve">? Un dictionnaire pour les patients atteints de cancer. In M. Heinz (Éd.), </w:t>
      </w:r>
      <w:r>
        <w:rPr>
          <w:i/>
          <w:sz w:val="20"/>
        </w:rPr>
        <w:t>Dictionnaires et traduction</w:t>
      </w:r>
      <w:r>
        <w:rPr>
          <w:sz w:val="20"/>
        </w:rPr>
        <w:t xml:space="preserve"> (p. 233</w:t>
      </w:r>
      <w:r>
        <w:rPr>
          <w:rFonts w:ascii="Calibri" w:eastAsia="Calibri" w:hAnsi="Calibri" w:cs="Calibri"/>
          <w:sz w:val="20"/>
        </w:rPr>
        <w:t>‑</w:t>
      </w:r>
      <w:r>
        <w:rPr>
          <w:sz w:val="20"/>
        </w:rPr>
        <w:t xml:space="preserve">266). Frank &amp; Timme. https://hal.archives-ouvertes.fr/hal-00920640 </w:t>
      </w:r>
    </w:p>
    <w:p w:rsidR="00DC4396" w:rsidRDefault="00FE7DC7">
      <w:pPr>
        <w:spacing w:after="2" w:line="240" w:lineRule="auto"/>
        <w:ind w:left="715" w:right="-10" w:hanging="730"/>
      </w:pPr>
      <w:r>
        <w:rPr>
          <w:sz w:val="20"/>
        </w:rPr>
        <w:t>De</w:t>
      </w:r>
      <w:r>
        <w:rPr>
          <w:sz w:val="20"/>
        </w:rPr>
        <w:t xml:space="preserve">lavigne, V., &amp; Gaudin, F. (2021). Foundational Principles of Socioterminology. In P. Faber &amp; M.-C. L’Homme (Éds.), </w:t>
      </w:r>
      <w:r>
        <w:rPr>
          <w:i/>
          <w:sz w:val="20"/>
        </w:rPr>
        <w:t>Theoretical Approaches to Terminology. From the Other Side of the Looking Glass</w:t>
      </w:r>
      <w:r>
        <w:rPr>
          <w:sz w:val="20"/>
        </w:rPr>
        <w:t xml:space="preserve"> (John Benjamins Publishing Company). </w:t>
      </w:r>
    </w:p>
    <w:p w:rsidR="00DC4396" w:rsidRDefault="00FE7DC7">
      <w:pPr>
        <w:spacing w:after="2" w:line="240" w:lineRule="auto"/>
        <w:ind w:left="715" w:right="-10" w:hanging="730"/>
      </w:pPr>
      <w:r>
        <w:rPr>
          <w:sz w:val="20"/>
        </w:rPr>
        <w:t xml:space="preserve">Drouin, P., Francoeur, </w:t>
      </w:r>
      <w:r>
        <w:rPr>
          <w:sz w:val="20"/>
        </w:rPr>
        <w:t xml:space="preserve">A., Humbley, J., &amp; Picton, A. (Éds.). (2017). </w:t>
      </w:r>
      <w:r>
        <w:rPr>
          <w:i/>
          <w:sz w:val="20"/>
        </w:rPr>
        <w:t>Multiple perspectives on terminological variation</w:t>
      </w:r>
      <w:r>
        <w:rPr>
          <w:sz w:val="20"/>
        </w:rPr>
        <w:t xml:space="preserve">. John Benjamins Publishing Company. </w:t>
      </w:r>
    </w:p>
    <w:p w:rsidR="00DC4396" w:rsidRDefault="00FE7DC7">
      <w:pPr>
        <w:spacing w:after="0" w:line="259" w:lineRule="auto"/>
        <w:ind w:left="-5"/>
        <w:jc w:val="left"/>
      </w:pPr>
      <w:r>
        <w:rPr>
          <w:sz w:val="20"/>
        </w:rPr>
        <w:t xml:space="preserve">Gaudin, F. (2003). </w:t>
      </w:r>
      <w:r>
        <w:rPr>
          <w:i/>
          <w:sz w:val="20"/>
        </w:rPr>
        <w:t>Socioterminologie : Une approche sociolinguistique de la terminologie</w:t>
      </w:r>
      <w:r>
        <w:rPr>
          <w:sz w:val="20"/>
        </w:rPr>
        <w:t xml:space="preserve">. De Boeck Duculot. </w:t>
      </w:r>
    </w:p>
    <w:p w:rsidR="00DC4396" w:rsidRDefault="00FE7DC7">
      <w:pPr>
        <w:spacing w:after="2" w:line="240" w:lineRule="auto"/>
        <w:ind w:left="715" w:right="-10" w:hanging="730"/>
      </w:pPr>
      <w:r>
        <w:rPr>
          <w:sz w:val="20"/>
        </w:rPr>
        <w:t xml:space="preserve">Petit, G. (2005). Synonymie et dénomination. </w:t>
      </w:r>
      <w:r>
        <w:rPr>
          <w:i/>
          <w:sz w:val="20"/>
        </w:rPr>
        <w:t>Linx. Revue des linguistes de l’université Paris X Nanterre</w:t>
      </w:r>
      <w:r>
        <w:rPr>
          <w:sz w:val="20"/>
        </w:rPr>
        <w:t xml:space="preserve">, </w:t>
      </w:r>
      <w:r>
        <w:rPr>
          <w:i/>
          <w:sz w:val="20"/>
        </w:rPr>
        <w:t>52</w:t>
      </w:r>
      <w:r>
        <w:rPr>
          <w:sz w:val="20"/>
        </w:rPr>
        <w:t>, 97</w:t>
      </w:r>
      <w:r>
        <w:rPr>
          <w:rFonts w:ascii="Calibri" w:eastAsia="Calibri" w:hAnsi="Calibri" w:cs="Calibri"/>
          <w:sz w:val="20"/>
        </w:rPr>
        <w:t>‑</w:t>
      </w:r>
      <w:r>
        <w:rPr>
          <w:sz w:val="20"/>
        </w:rPr>
        <w:t xml:space="preserve">112. https://doi.org/10.4000/linx.198 </w:t>
      </w:r>
    </w:p>
    <w:p w:rsidR="00DC4396" w:rsidRDefault="00FE7DC7">
      <w:pPr>
        <w:spacing w:after="0" w:line="259" w:lineRule="auto"/>
        <w:ind w:left="0" w:firstLine="0"/>
        <w:jc w:val="left"/>
      </w:pPr>
      <w:r>
        <w:rPr>
          <w:sz w:val="20"/>
        </w:rPr>
        <w:t xml:space="preserve">  </w:t>
      </w:r>
    </w:p>
    <w:p w:rsidR="00DC4396" w:rsidRDefault="00FE7DC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DC4396">
      <w:pgSz w:w="11906" w:h="16837"/>
      <w:pgMar w:top="1440" w:right="1428" w:bottom="1440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96"/>
    <w:rsid w:val="00DC4396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1CE57-6353-4A12-B6D4-DBD0E77E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7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3083</Characters>
  <Application>Microsoft Office Word</Application>
  <DocSecurity>0</DocSecurity>
  <Lines>25</Lines>
  <Paragraphs>7</Paragraphs>
  <ScaleCrop>false</ScaleCrop>
  <Company>Université de Rouen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DELAVIGNE_VALERIE_ONELA.docx</dc:title>
  <dc:subject/>
  <dc:creator>GREGORY MIRAS (Personnel)</dc:creator>
  <cp:keywords/>
  <cp:lastModifiedBy>GREGORY MIRAS (Personnel)</cp:lastModifiedBy>
  <cp:revision>2</cp:revision>
  <dcterms:created xsi:type="dcterms:W3CDTF">2021-06-03T15:34:00Z</dcterms:created>
  <dcterms:modified xsi:type="dcterms:W3CDTF">2021-06-03T15:34:00Z</dcterms:modified>
</cp:coreProperties>
</file>