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FF" w:rsidRDefault="00C71B90">
      <w:pPr>
        <w:spacing w:after="332" w:line="274" w:lineRule="auto"/>
        <w:ind w:left="0" w:firstLine="0"/>
        <w:jc w:val="center"/>
      </w:pPr>
      <w:r>
        <w:rPr>
          <w:b/>
          <w:sz w:val="28"/>
        </w:rPr>
        <w:t>Retour d’expérience d’une fouille de corpus en SHS : démarches, objets et outils pour interroger la définition de « interculturel »</w:t>
      </w:r>
    </w:p>
    <w:p w:rsidR="00EC65FF" w:rsidRDefault="00C71B90">
      <w:pPr>
        <w:spacing w:after="252" w:line="274" w:lineRule="auto"/>
        <w:ind w:left="0" w:right="923" w:firstLine="0"/>
        <w:jc w:val="left"/>
      </w:pPr>
      <w:r>
        <w:rPr>
          <w:sz w:val="24"/>
        </w:rPr>
        <w:t xml:space="preserve">Cédric, BRUDERMANN, CELISO EA 7332 – Sorbonne Université, FRANCE José Ignacio, AGUILAR RÍO, </w:t>
      </w:r>
      <w:proofErr w:type="spellStart"/>
      <w:r>
        <w:rPr>
          <w:sz w:val="24"/>
        </w:rPr>
        <w:t>Diltec</w:t>
      </w:r>
      <w:proofErr w:type="spellEnd"/>
      <w:r>
        <w:rPr>
          <w:sz w:val="24"/>
        </w:rPr>
        <w:t xml:space="preserve"> EA2288 – Sorbonne Nouvelle, FRANCE</w:t>
      </w:r>
    </w:p>
    <w:p w:rsidR="00EC65FF" w:rsidRDefault="00C71B90">
      <w:pPr>
        <w:spacing w:after="298" w:line="259" w:lineRule="auto"/>
        <w:ind w:left="0" w:firstLine="0"/>
        <w:jc w:val="left"/>
      </w:pPr>
      <w:r>
        <w:rPr>
          <w:i/>
          <w:sz w:val="20"/>
        </w:rPr>
        <w:t xml:space="preserve">Mots-clés — interculturel ; état de l’art ; sciences humaines et sociales ; corpus ; analyse </w:t>
      </w:r>
      <w:proofErr w:type="spellStart"/>
      <w:r>
        <w:rPr>
          <w:i/>
          <w:sz w:val="20"/>
        </w:rPr>
        <w:t>lexicométrique</w:t>
      </w:r>
      <w:proofErr w:type="spellEnd"/>
    </w:p>
    <w:p w:rsidR="00EC65FF" w:rsidRDefault="00C71B90">
      <w:pPr>
        <w:ind w:left="-5"/>
      </w:pPr>
      <w:r>
        <w:t xml:space="preserve">Si le terme « </w:t>
      </w:r>
      <w:r>
        <w:t xml:space="preserve">interculturel » (IC) fait son entrée dans la littérature scientifique à la fin du 19ème siècle – on retrouve « </w:t>
      </w:r>
      <w:proofErr w:type="spellStart"/>
      <w:r>
        <w:t>interculturally</w:t>
      </w:r>
      <w:proofErr w:type="spellEnd"/>
      <w:r>
        <w:t xml:space="preserve"> » dans le rapport d’Alex J. </w:t>
      </w:r>
      <w:proofErr w:type="spellStart"/>
      <w:r>
        <w:t>Bondurant</w:t>
      </w:r>
      <w:proofErr w:type="spellEnd"/>
      <w:r>
        <w:t xml:space="preserve"> paru en 1894 dans le bulletin numéro 52 de la revue </w:t>
      </w:r>
      <w:r>
        <w:rPr>
          <w:i/>
        </w:rPr>
        <w:t xml:space="preserve">Agricultural </w:t>
      </w:r>
      <w:proofErr w:type="spellStart"/>
      <w:r>
        <w:rPr>
          <w:i/>
        </w:rPr>
        <w:t>Experiment</w:t>
      </w:r>
      <w:proofErr w:type="spellEnd"/>
      <w:r>
        <w:rPr>
          <w:i/>
        </w:rPr>
        <w:t xml:space="preserve"> Station</w:t>
      </w:r>
      <w:r>
        <w:t>, dans l</w:t>
      </w:r>
      <w:r>
        <w:t xml:space="preserve">equel il est question de cultures de coton hybrides (cf. </w:t>
      </w:r>
      <w:hyperlink r:id="rId5">
        <w:r>
          <w:rPr>
            <w:color w:val="000080"/>
            <w:u w:val="single" w:color="000080"/>
          </w:rPr>
          <w:t>https://aurora.auburn.edu/bitstream/handle/11200/2706/BULL0052.pdf</w:t>
        </w:r>
      </w:hyperlink>
      <w:r>
        <w:t>, dernière consultation le 2-03-2021) – il appa</w:t>
      </w:r>
      <w:r>
        <w:t>raît ensuite dans le domaine sciences humaines et sociales (SHS) avec la définition communément admise de « entre les cultures ou entre les groupes qui s’y réfèrent » (</w:t>
      </w:r>
      <w:proofErr w:type="spellStart"/>
      <w:r>
        <w:t>Poglia</w:t>
      </w:r>
      <w:proofErr w:type="spellEnd"/>
      <w:r>
        <w:t xml:space="preserve"> et al., 2009 : 21). A partir de la fin des années 1960 cependant, la mobilisation</w:t>
      </w:r>
      <w:r>
        <w:t xml:space="preserve"> dont il fait l’objet dans les SHS devient exponentielle et il tend alors à y prendre des acceptions multiples (</w:t>
      </w:r>
      <w:proofErr w:type="spellStart"/>
      <w:r>
        <w:t>Dervin</w:t>
      </w:r>
      <w:proofErr w:type="spellEnd"/>
      <w:r>
        <w:t>, 2017), à un point tel que, tandis qu’il « prolifère, [il ne parvient ni à] se constituer en champ de cohérence » (</w:t>
      </w:r>
      <w:proofErr w:type="spellStart"/>
      <w:r>
        <w:t>Demorgon</w:t>
      </w:r>
      <w:proofErr w:type="spellEnd"/>
      <w:r>
        <w:t xml:space="preserve">, 2003), ni à </w:t>
      </w:r>
      <w:r>
        <w:t>renvoyer à une « théorie unifiée » (Abdallah-</w:t>
      </w:r>
      <w:proofErr w:type="spellStart"/>
      <w:r>
        <w:t>Pretceille</w:t>
      </w:r>
      <w:proofErr w:type="spellEnd"/>
      <w:r>
        <w:t>, 1999 : 52). Aujourd’hui, le « halo sémantique » (Abdallah-</w:t>
      </w:r>
      <w:proofErr w:type="spellStart"/>
      <w:r>
        <w:t>Pretceille</w:t>
      </w:r>
      <w:proofErr w:type="spellEnd"/>
      <w:r>
        <w:t>, 1999 : 81-82) qui gravite autour de cette « étiquette » (</w:t>
      </w:r>
      <w:proofErr w:type="spellStart"/>
      <w:r>
        <w:t>Dervin</w:t>
      </w:r>
      <w:proofErr w:type="spellEnd"/>
      <w:r>
        <w:t>, 2017) la ferait pâtir d’un « manque de lisibilité » (</w:t>
      </w:r>
      <w:proofErr w:type="spellStart"/>
      <w:r>
        <w:t>Boulay</w:t>
      </w:r>
      <w:proofErr w:type="spellEnd"/>
      <w:r>
        <w:t>, 200</w:t>
      </w:r>
      <w:r>
        <w:t xml:space="preserve">8 : 61). En raison du caractère paradoxal de cette situation, nous nous sommes interrogés quant à </w:t>
      </w:r>
      <w:proofErr w:type="spellStart"/>
      <w:r>
        <w:t>la.aux</w:t>
      </w:r>
      <w:proofErr w:type="spellEnd"/>
      <w:r>
        <w:t xml:space="preserve"> </w:t>
      </w:r>
      <w:proofErr w:type="spellStart"/>
      <w:proofErr w:type="gramStart"/>
      <w:r>
        <w:t>définition.s</w:t>
      </w:r>
      <w:proofErr w:type="spellEnd"/>
      <w:proofErr w:type="gramEnd"/>
      <w:r>
        <w:t xml:space="preserve"> </w:t>
      </w:r>
      <w:proofErr w:type="spellStart"/>
      <w:r>
        <w:t>dévolue.s</w:t>
      </w:r>
      <w:proofErr w:type="spellEnd"/>
      <w:r>
        <w:t xml:space="preserve"> à l’entrée IC  dans le contexte actuel » et, pour mieux en apprécier les contours, l’.les avons plus particulièrement </w:t>
      </w:r>
      <w:proofErr w:type="spellStart"/>
      <w:r>
        <w:t>interrogée</w:t>
      </w:r>
      <w:r>
        <w:t>.s</w:t>
      </w:r>
      <w:proofErr w:type="spellEnd"/>
      <w:r>
        <w:t xml:space="preserve"> à l’aune d'un état de l’art portant sur la littérature scientifique relevant des sciences humaines et sociales (SHS).</w:t>
      </w:r>
    </w:p>
    <w:p w:rsidR="00EC65FF" w:rsidRDefault="00C71B90">
      <w:pPr>
        <w:ind w:left="-5"/>
      </w:pPr>
      <w:r>
        <w:t xml:space="preserve">Dans </w:t>
      </w:r>
      <w:proofErr w:type="gramStart"/>
      <w:r>
        <w:t>cet présentation</w:t>
      </w:r>
      <w:proofErr w:type="gramEnd"/>
      <w:r>
        <w:t>, nous précisons la démarche méthodologique qui a sous-tendu la constitution du corpus (CP) qui a servi de point d</w:t>
      </w:r>
      <w:r>
        <w:t>’appui à nos analyses. Pour interroger la définition d’IC sous des jours différents, nous proposons ensuite des analyses quantitatives et qualitatives portant sur trois ensembles de données issues de CP, à savoir :</w:t>
      </w:r>
    </w:p>
    <w:p w:rsidR="00EC65FF" w:rsidRDefault="00C71B90">
      <w:pPr>
        <w:numPr>
          <w:ilvl w:val="0"/>
          <w:numId w:val="1"/>
        </w:numPr>
        <w:ind w:hanging="128"/>
      </w:pPr>
      <w:r>
        <w:t xml:space="preserve">Une analyse </w:t>
      </w:r>
      <w:proofErr w:type="spellStart"/>
      <w:r>
        <w:t>lexicométrique</w:t>
      </w:r>
      <w:proofErr w:type="spellEnd"/>
      <w:r>
        <w:t xml:space="preserve"> portant sur le</w:t>
      </w:r>
      <w:r>
        <w:t>s mots-clés qu’il intègre ;</w:t>
      </w:r>
    </w:p>
    <w:p w:rsidR="00EC65FF" w:rsidRDefault="00C71B90">
      <w:pPr>
        <w:numPr>
          <w:ilvl w:val="0"/>
          <w:numId w:val="1"/>
        </w:numPr>
        <w:ind w:hanging="128"/>
      </w:pPr>
      <w:r>
        <w:t xml:space="preserve">Une analyse </w:t>
      </w:r>
      <w:proofErr w:type="spellStart"/>
      <w:r>
        <w:t>lexicométrique</w:t>
      </w:r>
      <w:proofErr w:type="spellEnd"/>
      <w:r>
        <w:t xml:space="preserve"> ayant trait aux catégories sémantiques qui, dans les résumés qu’</w:t>
      </w:r>
      <w:proofErr w:type="spellStart"/>
      <w:r>
        <w:t>ilincorpore</w:t>
      </w:r>
      <w:proofErr w:type="spellEnd"/>
      <w:r>
        <w:t>, émergent comme les plus récurrentes ;</w:t>
      </w:r>
    </w:p>
    <w:p w:rsidR="00EC65FF" w:rsidRDefault="00C71B90">
      <w:pPr>
        <w:numPr>
          <w:ilvl w:val="0"/>
          <w:numId w:val="1"/>
        </w:numPr>
        <w:spacing w:after="252"/>
        <w:ind w:hanging="128"/>
      </w:pPr>
      <w:r>
        <w:t>Une analyse des collocations identifiées comme les plus récurrentes dans les résumés d</w:t>
      </w:r>
      <w:r>
        <w:t xml:space="preserve">e </w:t>
      </w:r>
      <w:proofErr w:type="gramStart"/>
      <w:r>
        <w:t>CP.A</w:t>
      </w:r>
      <w:proofErr w:type="gramEnd"/>
      <w:r>
        <w:t xml:space="preserve"> partir des résultats mis en lumière, nous concluons par une discussion critique autour des traits sémantiques auxquels l’entrée IC renvoie aujourd’hui dans le domaine des SHS.</w:t>
      </w:r>
    </w:p>
    <w:p w:rsidR="00EC65FF" w:rsidRDefault="00C71B90" w:rsidP="00C71B90">
      <w:pPr>
        <w:spacing w:after="0" w:line="267" w:lineRule="auto"/>
        <w:ind w:left="284" w:hanging="284"/>
      </w:pPr>
      <w:r>
        <w:rPr>
          <w:sz w:val="20"/>
        </w:rPr>
        <w:t>Abdallah-</w:t>
      </w:r>
      <w:proofErr w:type="spellStart"/>
      <w:r>
        <w:rPr>
          <w:sz w:val="20"/>
        </w:rPr>
        <w:t>Pretceille</w:t>
      </w:r>
      <w:proofErr w:type="spellEnd"/>
      <w:r>
        <w:rPr>
          <w:sz w:val="20"/>
        </w:rPr>
        <w:t xml:space="preserve">, M. (1999). </w:t>
      </w:r>
      <w:r>
        <w:rPr>
          <w:i/>
          <w:sz w:val="20"/>
        </w:rPr>
        <w:t>L’éducation interculturelle</w:t>
      </w:r>
      <w:r>
        <w:rPr>
          <w:sz w:val="20"/>
        </w:rPr>
        <w:t>. PUF.</w:t>
      </w:r>
    </w:p>
    <w:p w:rsidR="00EC65FF" w:rsidRDefault="00C71B90" w:rsidP="00C71B90">
      <w:pPr>
        <w:spacing w:after="0" w:line="267" w:lineRule="auto"/>
        <w:ind w:left="284" w:hanging="284"/>
      </w:pPr>
      <w:proofErr w:type="spellStart"/>
      <w:r>
        <w:rPr>
          <w:sz w:val="20"/>
        </w:rPr>
        <w:t>Boulay</w:t>
      </w:r>
      <w:proofErr w:type="spellEnd"/>
      <w:r>
        <w:rPr>
          <w:sz w:val="20"/>
        </w:rPr>
        <w:t>,</w:t>
      </w:r>
      <w:r>
        <w:rPr>
          <w:sz w:val="20"/>
        </w:rPr>
        <w:t xml:space="preserve"> B. (2008). L’interculturel en France Orientation des débats et des travaux (2000-2007). </w:t>
      </w:r>
      <w:r>
        <w:rPr>
          <w:i/>
          <w:sz w:val="20"/>
        </w:rPr>
        <w:t>Hommes et Migrations</w:t>
      </w:r>
      <w:r>
        <w:rPr>
          <w:sz w:val="20"/>
        </w:rPr>
        <w:t xml:space="preserve">, hors-série « L’interculturalité en débat », 61-95. </w:t>
      </w:r>
      <w:hyperlink r:id="rId6">
        <w:r>
          <w:rPr>
            <w:color w:val="000080"/>
            <w:sz w:val="20"/>
            <w:u w:val="single" w:color="000080"/>
          </w:rPr>
          <w:t>https://doi.org/10.3406/homig.2008.</w:t>
        </w:r>
        <w:r>
          <w:rPr>
            <w:color w:val="000080"/>
            <w:sz w:val="20"/>
            <w:u w:val="single" w:color="000080"/>
          </w:rPr>
          <w:t>4684</w:t>
        </w:r>
      </w:hyperlink>
    </w:p>
    <w:p w:rsidR="00EC65FF" w:rsidRDefault="00C71B90" w:rsidP="00C71B90">
      <w:pPr>
        <w:spacing w:after="0" w:line="267" w:lineRule="auto"/>
        <w:ind w:left="284" w:hanging="284"/>
      </w:pPr>
      <w:proofErr w:type="spellStart"/>
      <w:r>
        <w:rPr>
          <w:sz w:val="20"/>
        </w:rPr>
        <w:t>Demorgon</w:t>
      </w:r>
      <w:proofErr w:type="spellEnd"/>
      <w:r>
        <w:rPr>
          <w:sz w:val="20"/>
        </w:rPr>
        <w:t xml:space="preserve">, J. (2003). L’interculturel entre réception et invention. Contextes, médias, concepts. </w:t>
      </w:r>
      <w:r>
        <w:rPr>
          <w:i/>
          <w:sz w:val="20"/>
        </w:rPr>
        <w:t>Questions de communication, 4</w:t>
      </w:r>
      <w:r>
        <w:rPr>
          <w:sz w:val="20"/>
        </w:rPr>
        <w:t xml:space="preserve">, 43-70. </w:t>
      </w:r>
      <w:hyperlink r:id="rId7">
        <w:r>
          <w:rPr>
            <w:color w:val="000080"/>
            <w:sz w:val="20"/>
            <w:u w:val="single" w:color="000080"/>
          </w:rPr>
          <w:t>https://doi.org/10.4000/questionsdecommunica</w:t>
        </w:r>
        <w:r>
          <w:rPr>
            <w:color w:val="000080"/>
            <w:sz w:val="20"/>
            <w:u w:val="single" w:color="000080"/>
          </w:rPr>
          <w:t>tion.4538</w:t>
        </w:r>
      </w:hyperlink>
    </w:p>
    <w:p w:rsidR="00EC65FF" w:rsidRDefault="00C71B90" w:rsidP="00C71B90">
      <w:pPr>
        <w:spacing w:after="0" w:line="267" w:lineRule="auto"/>
        <w:ind w:left="284" w:hanging="284"/>
      </w:pPr>
      <w:proofErr w:type="spellStart"/>
      <w:r>
        <w:rPr>
          <w:sz w:val="20"/>
        </w:rPr>
        <w:t>Dervin</w:t>
      </w:r>
      <w:proofErr w:type="spellEnd"/>
      <w:r>
        <w:rPr>
          <w:sz w:val="20"/>
        </w:rPr>
        <w:t xml:space="preserve">, F. (2017). Éducation à l’interculturalité. In : A. Barthes, J.-M. Lange &amp; N. </w:t>
      </w:r>
      <w:proofErr w:type="spellStart"/>
      <w:r>
        <w:rPr>
          <w:sz w:val="20"/>
        </w:rPr>
        <w:t>Tutiaux</w:t>
      </w:r>
      <w:proofErr w:type="spellEnd"/>
      <w:r>
        <w:rPr>
          <w:sz w:val="20"/>
        </w:rPr>
        <w:t>-Guillon (</w:t>
      </w:r>
      <w:proofErr w:type="spellStart"/>
      <w:r>
        <w:rPr>
          <w:sz w:val="20"/>
        </w:rPr>
        <w:t>Éds</w:t>
      </w:r>
      <w:proofErr w:type="spellEnd"/>
      <w:r>
        <w:rPr>
          <w:sz w:val="20"/>
        </w:rPr>
        <w:t xml:space="preserve">.), </w:t>
      </w:r>
      <w:r>
        <w:rPr>
          <w:i/>
          <w:sz w:val="20"/>
        </w:rPr>
        <w:t>Dictionnaire critique des enjeux et concepts des « éducations à »</w:t>
      </w:r>
      <w:r>
        <w:rPr>
          <w:sz w:val="20"/>
        </w:rPr>
        <w:t xml:space="preserve"> (pp. 140-146), </w:t>
      </w:r>
      <w:proofErr w:type="spellStart"/>
      <w:r>
        <w:rPr>
          <w:sz w:val="20"/>
        </w:rPr>
        <w:t>L’Harmattan</w:t>
      </w:r>
      <w:proofErr w:type="spellEnd"/>
      <w:r>
        <w:rPr>
          <w:sz w:val="20"/>
        </w:rPr>
        <w:t>.</w:t>
      </w:r>
    </w:p>
    <w:p w:rsidR="00EC65FF" w:rsidRDefault="00C71B90" w:rsidP="00C71B90">
      <w:pPr>
        <w:spacing w:after="0" w:line="267" w:lineRule="auto"/>
        <w:ind w:left="284" w:hanging="284"/>
      </w:pPr>
      <w:proofErr w:type="spellStart"/>
      <w:r w:rsidRPr="00C71B90">
        <w:rPr>
          <w:sz w:val="20"/>
          <w:lang w:val="es-AR"/>
        </w:rPr>
        <w:t>Poglia</w:t>
      </w:r>
      <w:proofErr w:type="spellEnd"/>
      <w:r w:rsidRPr="00C71B90">
        <w:rPr>
          <w:sz w:val="20"/>
          <w:lang w:val="es-AR"/>
        </w:rPr>
        <w:t xml:space="preserve">, E., </w:t>
      </w:r>
      <w:proofErr w:type="spellStart"/>
      <w:r w:rsidRPr="00C71B90">
        <w:rPr>
          <w:sz w:val="20"/>
          <w:lang w:val="es-AR"/>
        </w:rPr>
        <w:t>Mauri-Brusa</w:t>
      </w:r>
      <w:proofErr w:type="spellEnd"/>
      <w:r w:rsidRPr="00C71B90">
        <w:rPr>
          <w:sz w:val="20"/>
          <w:lang w:val="es-AR"/>
        </w:rPr>
        <w:t xml:space="preserve">, M. &amp; </w:t>
      </w:r>
      <w:proofErr w:type="spellStart"/>
      <w:r w:rsidRPr="00C71B90">
        <w:rPr>
          <w:sz w:val="20"/>
          <w:lang w:val="es-AR"/>
        </w:rPr>
        <w:t>Fumasoli</w:t>
      </w:r>
      <w:proofErr w:type="spellEnd"/>
      <w:r w:rsidRPr="00C71B90">
        <w:rPr>
          <w:sz w:val="20"/>
          <w:lang w:val="es-AR"/>
        </w:rPr>
        <w:t xml:space="preserve">, T. </w:t>
      </w:r>
      <w:r w:rsidRPr="00C71B90">
        <w:rPr>
          <w:sz w:val="20"/>
          <w:lang w:val="es-AR"/>
        </w:rPr>
        <w:t xml:space="preserve">(2009). </w:t>
      </w:r>
      <w:r>
        <w:rPr>
          <w:sz w:val="20"/>
        </w:rPr>
        <w:t xml:space="preserve">Le Dialogue interculturel dans l’enseignement supérieur en Europe. In : S. </w:t>
      </w:r>
      <w:proofErr w:type="spellStart"/>
      <w:r>
        <w:rPr>
          <w:sz w:val="20"/>
        </w:rPr>
        <w:t>Bergan</w:t>
      </w:r>
      <w:proofErr w:type="spellEnd"/>
      <w:r>
        <w:rPr>
          <w:sz w:val="20"/>
        </w:rPr>
        <w:t xml:space="preserve"> &amp; J.-P. </w:t>
      </w:r>
      <w:proofErr w:type="spellStart"/>
      <w:r>
        <w:rPr>
          <w:sz w:val="20"/>
        </w:rPr>
        <w:t>Restoueix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Éds</w:t>
      </w:r>
      <w:proofErr w:type="spellEnd"/>
      <w:r>
        <w:rPr>
          <w:sz w:val="20"/>
        </w:rPr>
        <w:t xml:space="preserve">.), </w:t>
      </w:r>
      <w:r>
        <w:rPr>
          <w:i/>
          <w:sz w:val="20"/>
        </w:rPr>
        <w:t>Dialogue interculturel sur les campus universitaires</w:t>
      </w:r>
      <w:r>
        <w:rPr>
          <w:sz w:val="20"/>
        </w:rPr>
        <w:t xml:space="preserve"> (pp. 1776), Conseil de l’Europe.</w:t>
      </w:r>
      <w:bookmarkStart w:id="0" w:name="_GoBack"/>
      <w:bookmarkEnd w:id="0"/>
    </w:p>
    <w:sectPr w:rsidR="00EC65FF">
      <w:pgSz w:w="11906" w:h="16838"/>
      <w:pgMar w:top="1450" w:right="1438" w:bottom="2339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86419"/>
    <w:multiLevelType w:val="hybridMultilevel"/>
    <w:tmpl w:val="A7CE103C"/>
    <w:lvl w:ilvl="0" w:tplc="498A9A6E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67B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78D1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E44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874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A5A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0BD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0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035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FF"/>
    <w:rsid w:val="00C71B90"/>
    <w:rsid w:val="00E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BCA40-9659-49EA-B526-B327BFD4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4000/questionsdecommunication.4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406/homig.2008.4684" TargetMode="External"/><Relationship Id="rId5" Type="http://schemas.openxmlformats.org/officeDocument/2006/relationships/hyperlink" Target="https://aurora.auburn.edu/bitstream/handle/11200/2706/BULL005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3316</Characters>
  <Application>Microsoft Office Word</Application>
  <DocSecurity>0</DocSecurity>
  <Lines>27</Lines>
  <Paragraphs>7</Paragraphs>
  <ScaleCrop>false</ScaleCrop>
  <Company>Université de Rouen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MIRAS (Personnel)</dc:creator>
  <cp:keywords/>
  <cp:lastModifiedBy>GREGORY MIRAS (Personnel)</cp:lastModifiedBy>
  <cp:revision>2</cp:revision>
  <dcterms:created xsi:type="dcterms:W3CDTF">2021-05-19T06:58:00Z</dcterms:created>
  <dcterms:modified xsi:type="dcterms:W3CDTF">2021-05-19T06:58:00Z</dcterms:modified>
</cp:coreProperties>
</file>